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1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September 25, 2026</w:t>
      </w:r>
    </w:p>
    <w:p>
      <w:pPr>
        <w:pStyle w:val="TextBody"/>
        <w:bidi w:val="0"/>
        <w:spacing w:before="0" w:after="0"/>
        <w:jc w:val="center"/>
        <w:rPr/>
      </w:pPr>
      <w:r>
        <w:rPr/>
        <w:drawing>
          <wp:inline distT="0" distB="0" distL="0" distR="0">
            <wp:extent cx="22860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657225"/>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ADVANCED FLOWER CAPITAL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908" w:type="dxa"/>
        <w:jc w:val="left"/>
        <w:tblInd w:w="0" w:type="dxa"/>
        <w:tblLayout w:type="fixed"/>
        <w:tblCellMar>
          <w:top w:w="28" w:type="dxa"/>
          <w:left w:w="28" w:type="dxa"/>
          <w:bottom w:w="28" w:type="dxa"/>
          <w:right w:w="28" w:type="dxa"/>
        </w:tblCellMar>
      </w:tblPr>
      <w:tblGrid>
        <w:gridCol w:w="1345"/>
        <w:gridCol w:w="1184"/>
        <w:gridCol w:w="1190"/>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001-39995</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85-1807125</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477 S. Rosemary Ave., Suite 301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West Palm Beach, FL 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561-510-2390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37" w:type="dxa"/>
        <w:jc w:val="left"/>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AFCG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Amendment to Loan and Security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25, 2026, Advanced Flower Capital Inc., a Maryland corporation (the “Company”), entered into Amendment Number Ten to the Loan and Security Agreement (the “Tenth Amendment”), dated as of April 29, 2022 (as amended, supplemented or otherwise modified from time to time, including by the Tenth Amendment), by and among the Company, as a borrower, the other borrowers party thereto, the lenders party thereto and the lead arranger, bookrunner and administrative agent party thereto. The Tenth Amendment, among other things, set certain conditions for the advance rate against credit facilities in the borrower base, revised the loan fee structure and increased, for a specified period of time, the aggregate revolver commitments under the facility to $130 million, consisting of an increase in revolver commitments of up to $50 million on a quarterly basis (such increase, the “Quarterly Temporary Increase Amount”, and such period, the “Quarterly Temporary Increase Period”). The aggregate revolving commitments and the maximum revolver amount under the facility will automatically be reduced to (i) during any Quarterly Temporary Increase Period, $80 million plus the Quarterly Temporary Increase Amount not to exceed a maximum revolver amount of $130 million, and (ii) at any other time, including upon the expiration of any Quarterly Temporary Increase Period, $80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Tenth Amendment does not purport to be complete and is qualified in its entirety by reference to the full text of Tenth Amendment, which is filed with this report as Exhibit 10.9J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Registrant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Item 1.01 of this Current Report relating to the Tenth Amendment is incorporated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720"/>
        <w:jc w:val="left"/>
        <w:rPr/>
      </w:pPr>
      <w:r>
        <w:rPr>
          <w:rFonts w:ascii="Times New Roman;serif" w:hAnsi="Times New Roman;serif"/>
          <w:b w:val="false"/>
          <w:color w:val="000000"/>
          <w:sz w:val="20"/>
          <w:shd w:fill="FFFFFF" w:val="clear"/>
        </w:rPr>
        <w:t>(d)</w:t>
      </w:r>
      <w:r>
        <w:rPr>
          <w:rFonts w:ascii="Times New Roman;serif" w:hAnsi="Times New Roman;serif"/>
          <w:b w:val="false"/>
          <w:color w:val="000000"/>
          <w:sz w:val="20"/>
        </w:rPr>
        <w:t>Exhibits. The following exhibits are being filed with this Current Report.</w:t>
      </w:r>
    </w:p>
    <w:tbl>
      <w:tblPr>
        <w:tblW w:w="10205" w:type="dxa"/>
        <w:jc w:val="left"/>
        <w:tblInd w:w="0" w:type="dxa"/>
        <w:tblLayout w:type="fixed"/>
        <w:tblCellMar>
          <w:top w:w="28" w:type="dxa"/>
          <w:left w:w="28" w:type="dxa"/>
          <w:bottom w:w="28" w:type="dxa"/>
          <w:right w:w="28" w:type="dxa"/>
        </w:tblCellMar>
      </w:tblPr>
      <w:tblGrid>
        <w:gridCol w:w="322"/>
        <w:gridCol w:w="283"/>
        <w:gridCol w:w="284"/>
        <w:gridCol w:w="109"/>
        <w:gridCol w:w="109"/>
        <w:gridCol w:w="109"/>
        <w:gridCol w:w="2619"/>
        <w:gridCol w:w="2619"/>
        <w:gridCol w:w="3751"/>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89"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pPr>
            <w:hyperlink w:anchor="exhibit109j-amendmentnumbe.htm">
              <w:r>
                <w:rPr>
                  <w:rStyle w:val="InternetLink"/>
                  <w:rFonts w:ascii="Times New Roman;serif" w:hAnsi="Times New Roman;serif"/>
                  <w:b w:val="false"/>
                  <w:color w:val="0000FF"/>
                  <w:sz w:val="20"/>
                  <w:u w:val="single"/>
                </w:rPr>
                <w:t>10.9J</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Number Ten to the Loan and Security Agreement, dated as of September 25, 2026, by and among the Company, as borrower, the lenders party thereto, and the lead arranger, bookrunner and administrative agent party thereto.</w:t>
            </w:r>
          </w:p>
        </w:tc>
      </w:tr>
      <w:tr>
        <w:trPr/>
        <w:tc>
          <w:tcPr>
            <w:tcW w:w="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hereunto duly authorized.</w:t>
      </w:r>
    </w:p>
    <w:tbl>
      <w:tblPr>
        <w:tblW w:w="6995" w:type="dxa"/>
        <w:jc w:val="left"/>
        <w:tblInd w:w="0" w:type="dxa"/>
        <w:tblLayout w:type="fixed"/>
        <w:tblCellMar>
          <w:top w:w="28" w:type="dxa"/>
          <w:left w:w="28" w:type="dxa"/>
          <w:bottom w:w="28" w:type="dxa"/>
          <w:right w:w="28" w:type="dxa"/>
        </w:tblCellMar>
      </w:tblPr>
      <w:tblGrid>
        <w:gridCol w:w="802"/>
        <w:gridCol w:w="707"/>
        <w:gridCol w:w="711"/>
        <w:gridCol w:w="542"/>
        <w:gridCol w:w="542"/>
        <w:gridCol w:w="542"/>
        <w:gridCol w:w="914"/>
        <w:gridCol w:w="914"/>
        <w:gridCol w:w="132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77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ADVANCED FLOWER CAPITAL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29, 2026</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1"/>
        </w:rPr>
      </w:pPr>
      <w:r>
        <w:rPr>
          <w:rFonts w:ascii="Times New Roman;serif" w:hAnsi="Times New Roman;serif"/>
          <w:b/>
          <w:color w:val="000000"/>
          <w:sz w:val="21"/>
        </w:rPr>
        <w:t>*CERTAIN IDENTIFIED INFORMATION HAS BEEN EXCLUDED FROM THE EXHIBIT BECAUSE IT IS BOTH NOT MATERIAL AND WOULD LIKELY CAUSE COMPETITIVE HARM TO THE REGISTRANT IF PUBLICLY DISCLOSED. [***] INDICATES THAT INFORMATION HAS BEEN REDACTED.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480"/>
        <w:jc w:val="center"/>
        <w:rPr>
          <w:rFonts w:ascii="Times New Roman;serif" w:hAnsi="Times New Roman;serif"/>
          <w:b/>
          <w:color w:val="000000"/>
          <w:sz w:val="21"/>
        </w:rPr>
      </w:pPr>
      <w:r>
        <w:rPr>
          <w:rFonts w:ascii="Times New Roman;serif" w:hAnsi="Times New Roman;serif"/>
          <w:b/>
          <w:color w:val="000000"/>
          <w:sz w:val="21"/>
        </w:rPr>
        <w:t>AMENDMENT NUMBER TEN TO LOAN AND SECURITY AGREEMENT</w:t>
      </w:r>
    </w:p>
    <w:p>
      <w:pPr>
        <w:pStyle w:val="TextBody"/>
        <w:bidi w:val="0"/>
        <w:spacing w:lineRule="auto" w:line="288" w:before="0" w:after="0"/>
        <w:ind w:left="0" w:right="0" w:firstLine="720"/>
        <w:jc w:val="both"/>
        <w:rPr/>
      </w:pPr>
      <w:r>
        <w:rPr>
          <w:rFonts w:ascii="Times New Roman;serif" w:hAnsi="Times New Roman;serif"/>
          <w:b w:val="false"/>
          <w:color w:val="000000"/>
          <w:sz w:val="21"/>
        </w:rPr>
        <w:t>This Amendment Number Ten to Loan and Security Agreement (this “</w:t>
      </w:r>
      <w:r>
        <w:rPr>
          <w:rFonts w:ascii="Times New Roman;serif" w:hAnsi="Times New Roman;serif"/>
          <w:b w:val="false"/>
          <w:color w:val="000000"/>
          <w:sz w:val="21"/>
          <w:u w:val="single"/>
        </w:rPr>
        <w:t>Amendment</w:t>
      </w:r>
      <w:r>
        <w:rPr>
          <w:color w:val="000000"/>
        </w:rPr>
        <w:t>”</w:t>
      </w:r>
      <w:r>
        <w:rPr>
          <w:rFonts w:ascii="Times New Roman;serif" w:hAnsi="Times New Roman;serif"/>
          <w:b w:val="false"/>
          <w:color w:val="000000"/>
          <w:sz w:val="21"/>
        </w:rPr>
        <w:t>) is entered into as of September 25, 2026 (the “</w:t>
      </w:r>
      <w:r>
        <w:rPr>
          <w:rFonts w:ascii="Times New Roman;serif" w:hAnsi="Times New Roman;serif"/>
          <w:b w:val="false"/>
          <w:color w:val="000000"/>
          <w:sz w:val="21"/>
          <w:u w:val="single"/>
        </w:rPr>
        <w:t>Tenth Amendment Effective Date</w:t>
      </w:r>
      <w:r>
        <w:rPr>
          <w:color w:val="000000"/>
        </w:rPr>
        <w:t>”</w:t>
      </w:r>
      <w:r>
        <w:rPr>
          <w:rFonts w:ascii="Times New Roman;serif" w:hAnsi="Times New Roman;serif"/>
          <w:b w:val="false"/>
          <w:color w:val="000000"/>
          <w:sz w:val="21"/>
        </w:rPr>
        <w:t>), by and among the lenders identified on the signature pages hereof (such lenders, together with their respective successors and permitted assigns, are referred to hereinafter each individually as a “</w:t>
      </w:r>
      <w:r>
        <w:rPr>
          <w:rFonts w:ascii="Times New Roman;serif" w:hAnsi="Times New Roman;serif"/>
          <w:b w:val="false"/>
          <w:color w:val="000000"/>
          <w:sz w:val="21"/>
          <w:u w:val="single"/>
        </w:rPr>
        <w:t>Lender</w:t>
      </w:r>
      <w:r>
        <w:rPr>
          <w:color w:val="000000"/>
        </w:rPr>
        <w:t xml:space="preserve">” </w:t>
      </w:r>
      <w:r>
        <w:rPr>
          <w:rFonts w:ascii="Times New Roman;serif" w:hAnsi="Times New Roman;serif"/>
          <w:b w:val="false"/>
          <w:color w:val="000000"/>
          <w:sz w:val="21"/>
        </w:rPr>
        <w:t>and collectively as the “</w:t>
      </w:r>
      <w:r>
        <w:rPr>
          <w:rFonts w:ascii="Times New Roman;serif" w:hAnsi="Times New Roman;serif"/>
          <w:b w:val="false"/>
          <w:color w:val="000000"/>
          <w:sz w:val="21"/>
          <w:u w:val="single"/>
        </w:rPr>
        <w:t>Lenders</w:t>
      </w:r>
      <w:r>
        <w:rPr>
          <w:color w:val="000000"/>
        </w:rPr>
        <w:t>”</w:t>
      </w:r>
      <w:r>
        <w:rPr>
          <w:rFonts w:ascii="Times New Roman;serif" w:hAnsi="Times New Roman;serif"/>
          <w:b w:val="false"/>
          <w:color w:val="000000"/>
          <w:sz w:val="21"/>
        </w:rPr>
        <w:t>), [***], administrative agent for each member of the Lender Group and the Bank Product Providers (in such capacity, together with its successors and assigns in such capacity, “</w:t>
      </w:r>
      <w:r>
        <w:rPr>
          <w:rFonts w:ascii="Times New Roman;serif" w:hAnsi="Times New Roman;serif"/>
          <w:b w:val="false"/>
          <w:color w:val="000000"/>
          <w:sz w:val="21"/>
          <w:u w:val="single"/>
        </w:rPr>
        <w:t>Agent</w:t>
      </w:r>
      <w:r>
        <w:rPr>
          <w:color w:val="000000"/>
        </w:rPr>
        <w:t>”</w:t>
      </w:r>
      <w:r>
        <w:rPr>
          <w:rFonts w:ascii="Times New Roman;serif" w:hAnsi="Times New Roman;serif"/>
          <w:b w:val="false"/>
          <w:color w:val="000000"/>
          <w:sz w:val="21"/>
        </w:rPr>
        <w:t>), as lead arranger (in such capacity, together with its successors and assigns in such capacity, the “</w:t>
      </w:r>
      <w:r>
        <w:rPr>
          <w:rFonts w:ascii="Times New Roman;serif" w:hAnsi="Times New Roman;serif"/>
          <w:b w:val="false"/>
          <w:color w:val="000000"/>
          <w:sz w:val="21"/>
          <w:u w:val="single"/>
        </w:rPr>
        <w:t>Lead Arranger</w:t>
      </w:r>
      <w:r>
        <w:rPr>
          <w:color w:val="000000"/>
        </w:rPr>
        <w:t>”</w:t>
      </w:r>
      <w:r>
        <w:rPr>
          <w:rFonts w:ascii="Times New Roman;serif" w:hAnsi="Times New Roman;serif"/>
          <w:b w:val="false"/>
          <w:color w:val="000000"/>
          <w:sz w:val="21"/>
        </w:rPr>
        <w:t>), and as book runner (in such capacity, together with its successors and assigns in such capacity, the “</w:t>
      </w:r>
      <w:r>
        <w:rPr>
          <w:rFonts w:ascii="Times New Roman;serif" w:hAnsi="Times New Roman;serif"/>
          <w:b w:val="false"/>
          <w:color w:val="000000"/>
          <w:sz w:val="21"/>
          <w:u w:val="single"/>
        </w:rPr>
        <w:t>Book Runner</w:t>
      </w:r>
      <w:r>
        <w:rPr>
          <w:color w:val="000000"/>
        </w:rPr>
        <w:t>”</w:t>
      </w:r>
      <w:r>
        <w:rPr>
          <w:rFonts w:ascii="Times New Roman;serif" w:hAnsi="Times New Roman;serif"/>
          <w:b w:val="false"/>
          <w:color w:val="000000"/>
          <w:sz w:val="21"/>
        </w:rPr>
        <w:t xml:space="preserve">), on the one hand, and </w:t>
      </w:r>
      <w:r>
        <w:rPr>
          <w:rFonts w:ascii="Times New Roman;serif" w:hAnsi="Times New Roman;serif"/>
          <w:b/>
          <w:color w:val="000000"/>
          <w:sz w:val="21"/>
        </w:rPr>
        <w:t>ADVANCED FLOWER CAPITAL INC.</w:t>
      </w:r>
      <w:r>
        <w:rPr>
          <w:rFonts w:ascii="Times New Roman;serif" w:hAnsi="Times New Roman;serif"/>
          <w:b w:val="false"/>
          <w:color w:val="000000"/>
          <w:sz w:val="21"/>
        </w:rPr>
        <w:t>, a Maryland corporation, formerly known as AFC Gamma, Inc. (“</w:t>
      </w:r>
      <w:r>
        <w:rPr>
          <w:rFonts w:ascii="Times New Roman;serif" w:hAnsi="Times New Roman;serif"/>
          <w:b w:val="false"/>
          <w:color w:val="000000"/>
          <w:sz w:val="21"/>
          <w:u w:val="single"/>
        </w:rPr>
        <w:t>AFCI</w:t>
      </w:r>
      <w:r>
        <w:rPr>
          <w:color w:val="000000"/>
        </w:rPr>
        <w:t>”</w:t>
      </w:r>
      <w:r>
        <w:rPr>
          <w:rFonts w:ascii="Times New Roman;serif" w:hAnsi="Times New Roman;serif"/>
          <w:b w:val="false"/>
          <w:color w:val="000000"/>
          <w:sz w:val="21"/>
        </w:rPr>
        <w:t xml:space="preserve">) and </w:t>
      </w:r>
      <w:r>
        <w:rPr>
          <w:rFonts w:ascii="Times New Roman;serif" w:hAnsi="Times New Roman;serif"/>
          <w:b/>
          <w:color w:val="000000"/>
          <w:sz w:val="21"/>
        </w:rPr>
        <w:t>TCGDL LLC</w:t>
      </w:r>
      <w:r>
        <w:rPr>
          <w:rFonts w:ascii="Times New Roman;serif" w:hAnsi="Times New Roman;serif"/>
          <w:b w:val="false"/>
          <w:color w:val="000000"/>
          <w:sz w:val="21"/>
        </w:rPr>
        <w:t>, a Delaware limited liability company (“</w:t>
      </w:r>
      <w:r>
        <w:rPr>
          <w:rFonts w:ascii="Times New Roman;serif" w:hAnsi="Times New Roman;serif"/>
          <w:b w:val="false"/>
          <w:color w:val="000000"/>
          <w:sz w:val="21"/>
          <w:u w:val="single"/>
        </w:rPr>
        <w:t>TCGDL</w:t>
      </w:r>
      <w:r>
        <w:rPr>
          <w:color w:val="000000"/>
        </w:rPr>
        <w:t>”</w:t>
      </w:r>
      <w:r>
        <w:rPr>
          <w:rFonts w:ascii="Times New Roman;serif" w:hAnsi="Times New Roman;serif"/>
          <w:b w:val="false"/>
          <w:color w:val="000000"/>
          <w:sz w:val="21"/>
        </w:rPr>
        <w:t>, and together with AFCI, each individually a “</w:t>
      </w:r>
      <w:r>
        <w:rPr>
          <w:rFonts w:ascii="Times New Roman;serif" w:hAnsi="Times New Roman;serif"/>
          <w:b w:val="false"/>
          <w:color w:val="000000"/>
          <w:sz w:val="21"/>
          <w:u w:val="single"/>
        </w:rPr>
        <w:t>Borrower</w:t>
      </w:r>
      <w:r>
        <w:rPr>
          <w:color w:val="000000"/>
        </w:rPr>
        <w:t>”</w:t>
      </w:r>
      <w:r>
        <w:rPr>
          <w:rFonts w:ascii="Times New Roman;serif" w:hAnsi="Times New Roman;serif"/>
          <w:b w:val="false"/>
          <w:color w:val="000000"/>
          <w:sz w:val="21"/>
        </w:rPr>
        <w:t>, and collectively, jointly and severally, the “</w:t>
      </w:r>
      <w:r>
        <w:rPr>
          <w:rFonts w:ascii="Times New Roman;serif" w:hAnsi="Times New Roman;serif"/>
          <w:b w:val="false"/>
          <w:color w:val="000000"/>
          <w:sz w:val="21"/>
          <w:u w:val="single"/>
        </w:rPr>
        <w:t>Borrowers</w:t>
      </w:r>
      <w:r>
        <w:rPr>
          <w:color w:val="000000"/>
        </w:rPr>
        <w:t>”</w:t>
      </w:r>
      <w:r>
        <w:rPr>
          <w:rFonts w:ascii="Times New Roman;serif" w:hAnsi="Times New Roman;serif"/>
          <w:b w:val="false"/>
          <w:color w:val="000000"/>
          <w:sz w:val="21"/>
        </w:rPr>
        <w:t>), on the other hand, in light of the following:</w:t>
      </w:r>
    </w:p>
    <w:p>
      <w:pPr>
        <w:pStyle w:val="TextBody"/>
        <w:bidi w:val="0"/>
        <w:spacing w:before="0" w:after="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1"/>
        </w:rPr>
        <w:t>A.    Agent, the Lenders, the Lead Arranger, the Book Runner and Borrowers are parties to that certain Loan and Security Agreement, dated as of April 29, 2022 (as amended, restated or otherwise modified from time to time, the “</w:t>
      </w:r>
      <w:r>
        <w:rPr>
          <w:rFonts w:ascii="Times New Roman;serif" w:hAnsi="Times New Roman;serif"/>
          <w:b w:val="false"/>
          <w:color w:val="000000"/>
          <w:sz w:val="21"/>
          <w:u w:val="single"/>
        </w:rPr>
        <w:t>Agreement</w:t>
      </w:r>
      <w:r>
        <w:rPr>
          <w:color w:val="000000"/>
        </w:rPr>
        <w:t>”</w:t>
      </w:r>
      <w:r>
        <w:rPr>
          <w:rFonts w:ascii="Times New Roman;serif" w:hAnsi="Times New Roman;serif"/>
          <w:b w:val="false"/>
          <w:color w:val="000000"/>
          <w:sz w:val="21"/>
        </w:rPr>
        <w:t>);</w:t>
      </w:r>
    </w:p>
    <w:p>
      <w:pPr>
        <w:pStyle w:val="TextBody"/>
        <w:bidi w:val="0"/>
        <w:spacing w:lineRule="auto" w:line="288" w:before="0" w:after="240"/>
        <w:ind w:left="0" w:right="0" w:hanging="720"/>
        <w:jc w:val="both"/>
        <w:rPr/>
      </w:pPr>
      <w:r>
        <w:rPr>
          <w:rFonts w:ascii="Times New Roman;serif" w:hAnsi="Times New Roman;serif"/>
          <w:b w:val="false"/>
          <w:color w:val="000000"/>
          <w:sz w:val="21"/>
        </w:rPr>
        <w:t>B.    Borrowers have requested that the Lenders increase for a specified period of time, the aggregate Commitments to $130,000,000, resulting in a temporary increase of up to $50,000,000, on a quarterly basis (the “</w:t>
      </w:r>
      <w:r>
        <w:rPr>
          <w:rFonts w:ascii="Times New Roman;serif" w:hAnsi="Times New Roman;serif"/>
          <w:b w:val="false"/>
          <w:color w:val="000000"/>
          <w:sz w:val="21"/>
          <w:u w:val="single"/>
        </w:rPr>
        <w:t>Quarterly Temporary Increases</w:t>
      </w:r>
      <w:r>
        <w:rPr>
          <w:color w:val="000000"/>
        </w:rPr>
        <w:t>”</w:t>
      </w:r>
      <w:r>
        <w:rPr>
          <w:rFonts w:ascii="Times New Roman;serif" w:hAnsi="Times New Roman;serif"/>
          <w:b w:val="false"/>
          <w:color w:val="000000"/>
          <w:sz w:val="21"/>
        </w:rPr>
        <w:t xml:space="preserve">); </w:t>
      </w:r>
    </w:p>
    <w:p>
      <w:pPr>
        <w:pStyle w:val="TextBody"/>
        <w:bidi w:val="0"/>
        <w:spacing w:lineRule="auto" w:line="288" w:before="0" w:after="240"/>
        <w:ind w:left="0" w:right="0" w:hanging="720"/>
        <w:jc w:val="both"/>
        <w:rPr>
          <w:rFonts w:ascii="Times New Roman;serif" w:hAnsi="Times New Roman;serif"/>
          <w:b w:val="false"/>
          <w:color w:val="000000"/>
          <w:sz w:val="21"/>
        </w:rPr>
      </w:pPr>
      <w:r>
        <w:rPr>
          <w:rFonts w:ascii="Times New Roman;serif" w:hAnsi="Times New Roman;serif"/>
          <w:b w:val="false"/>
          <w:color w:val="000000"/>
          <w:sz w:val="21"/>
        </w:rPr>
        <w:t>C.    Immediately after giving effect to any such Quarterly Temporary Increase, the Maximum Revolver Amount shall be increased in accordance with and subject to the terms of this Amendment; and</w:t>
      </w:r>
    </w:p>
    <w:p>
      <w:pPr>
        <w:pStyle w:val="TextBody"/>
        <w:bidi w:val="0"/>
        <w:spacing w:lineRule="auto" w:line="288" w:before="0" w:after="240"/>
        <w:ind w:left="0" w:right="0" w:hanging="720"/>
        <w:jc w:val="both"/>
        <w:rPr/>
      </w:pPr>
      <w:r>
        <w:rPr>
          <w:rFonts w:ascii="Times New Roman;serif" w:hAnsi="Times New Roman;serif"/>
          <w:b w:val="false"/>
          <w:color w:val="000000"/>
          <w:sz w:val="21"/>
        </w:rPr>
        <w:t xml:space="preserve">D.    In accordance with </w:t>
      </w:r>
      <w:r>
        <w:rPr>
          <w:rFonts w:ascii="Times New Roman;serif" w:hAnsi="Times New Roman;serif"/>
          <w:b w:val="false"/>
          <w:color w:val="000000"/>
          <w:sz w:val="21"/>
          <w:u w:val="single"/>
        </w:rPr>
        <w:t>Section 16.1</w:t>
      </w:r>
      <w:r>
        <w:rPr>
          <w:color w:val="000000"/>
        </w:rPr>
        <w:t xml:space="preserve"> </w:t>
      </w:r>
      <w:r>
        <w:rPr>
          <w:rFonts w:ascii="Times New Roman;serif" w:hAnsi="Times New Roman;serif"/>
          <w:b w:val="false"/>
          <w:color w:val="000000"/>
          <w:sz w:val="21"/>
        </w:rPr>
        <w:t>of the Agreement, Agent, all of the Lenders, and the Borrowers have agreed to amend the Agreement set forth herein.</w:t>
      </w:r>
    </w:p>
    <w:p>
      <w:pPr>
        <w:pStyle w:val="TextBody"/>
        <w:bidi w:val="0"/>
        <w:spacing w:lineRule="auto" w:line="288" w:before="0" w:after="24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NOW, THEREFORE, in consideration of the premises herein contained and other good and valuable consideration, the receipt and adequacy of which are hereby acknowledged, Agent, the Lenders, and the Borrowers hereby agree as follows as of the Tenth Amendment Effective Date:</w:t>
      </w:r>
    </w:p>
    <w:p>
      <w:pPr>
        <w:pStyle w:val="TextBody"/>
        <w:bidi w:val="0"/>
        <w:spacing w:lineRule="auto" w:line="288" w:before="0" w:after="240"/>
        <w:ind w:left="0" w:right="0" w:firstLine="720"/>
        <w:jc w:val="both"/>
        <w:rPr/>
      </w:pPr>
      <w:r>
        <w:rPr>
          <w:rFonts w:ascii="Times New Roman;serif" w:hAnsi="Times New Roman;serif"/>
          <w:b w:val="false"/>
          <w:color w:val="010000"/>
          <w:sz w:val="21"/>
        </w:rPr>
        <w:t>1.    </w:t>
      </w:r>
      <w:r>
        <w:rPr>
          <w:rFonts w:ascii="Times New Roman;serif" w:hAnsi="Times New Roman;serif"/>
          <w:b/>
          <w:color w:val="000000"/>
          <w:sz w:val="21"/>
          <w:u w:val="single"/>
        </w:rPr>
        <w:t>DEFINITIONS</w:t>
      </w:r>
      <w:r>
        <w:rPr>
          <w:rFonts w:ascii="Times New Roman;serif" w:hAnsi="Times New Roman;serif"/>
          <w:b w:val="false"/>
          <w:color w:val="000000"/>
          <w:sz w:val="21"/>
        </w:rPr>
        <w:t>.</w:t>
      </w:r>
      <w:r>
        <w:rPr>
          <w:color w:val="000000"/>
        </w:rPr>
        <w:t xml:space="preserve"> </w:t>
      </w:r>
      <w:r>
        <w:rPr>
          <w:rFonts w:ascii="Times New Roman;serif" w:hAnsi="Times New Roman;serif"/>
          <w:b w:val="false"/>
          <w:color w:val="000000"/>
          <w:sz w:val="21"/>
        </w:rPr>
        <w:t>All initially capitalized terms used in this Amendment shall have the meanings given to them in the Agreement unless specifically defined herein.</w:t>
      </w:r>
    </w:p>
    <w:p>
      <w:pPr>
        <w:pStyle w:val="TextBody"/>
        <w:bidi w:val="0"/>
        <w:spacing w:lineRule="auto" w:line="288" w:before="0" w:after="240"/>
        <w:ind w:left="0" w:right="0" w:firstLine="720"/>
        <w:jc w:val="both"/>
        <w:rPr/>
      </w:pPr>
      <w:r>
        <w:rPr>
          <w:rFonts w:ascii="Times New Roman;serif" w:hAnsi="Times New Roman;serif"/>
          <w:b w:val="false"/>
          <w:color w:val="010000"/>
          <w:sz w:val="21"/>
        </w:rPr>
        <w:t>2.    </w:t>
      </w:r>
      <w:r>
        <w:rPr>
          <w:rFonts w:ascii="Times New Roman;serif" w:hAnsi="Times New Roman;serif"/>
          <w:b/>
          <w:color w:val="000000"/>
          <w:sz w:val="21"/>
          <w:u w:val="single"/>
        </w:rPr>
        <w:t>AMENDMENTS</w:t>
      </w:r>
      <w:r>
        <w:rPr>
          <w:rFonts w:ascii="Times New Roman;serif" w:hAnsi="Times New Roman;serif"/>
          <w:b w:val="false"/>
          <w:color w:val="000000"/>
          <w:sz w:val="21"/>
        </w:rPr>
        <w:t>.</w:t>
      </w:r>
    </w:p>
    <w:p>
      <w:pPr>
        <w:pStyle w:val="TextBody"/>
        <w:bidi w:val="0"/>
        <w:spacing w:lineRule="auto" w:line="288" w:before="0" w:after="240"/>
        <w:ind w:left="0" w:right="0" w:firstLine="1440"/>
        <w:jc w:val="both"/>
        <w:rPr/>
      </w:pPr>
      <w:r>
        <w:rPr>
          <w:rFonts w:ascii="Times New Roman;serif" w:hAnsi="Times New Roman;serif"/>
          <w:b w:val="false"/>
          <w:color w:val="010000"/>
          <w:sz w:val="21"/>
        </w:rPr>
        <w:t>(a)    </w:t>
      </w:r>
      <w:r>
        <w:rPr>
          <w:rFonts w:ascii="Times New Roman;serif" w:hAnsi="Times New Roman;serif"/>
          <w:b w:val="false"/>
          <w:color w:val="000000"/>
          <w:sz w:val="21"/>
        </w:rPr>
        <w:t>The definition of “</w:t>
      </w:r>
      <w:r>
        <w:rPr>
          <w:rFonts w:ascii="Times New Roman;serif" w:hAnsi="Times New Roman;serif"/>
          <w:b w:val="false"/>
          <w:color w:val="000000"/>
          <w:sz w:val="21"/>
          <w:u w:val="single"/>
        </w:rPr>
        <w:t>Available Increase Amount</w:t>
      </w:r>
      <w:r>
        <w:rPr>
          <w:color w:val="000000"/>
        </w:rPr>
        <w:t xml:space="preserve">” </w:t>
      </w:r>
      <w:r>
        <w:rPr>
          <w:rFonts w:ascii="Times New Roman;serif" w:hAnsi="Times New Roman;serif"/>
          <w:b w:val="false"/>
          <w:color w:val="000000"/>
          <w:sz w:val="21"/>
        </w:rPr>
        <w:t xml:space="preserve">in </w:t>
      </w:r>
      <w:r>
        <w:rPr>
          <w:rFonts w:ascii="Times New Roman;serif" w:hAnsi="Times New Roman;serif"/>
          <w:b w:val="false"/>
          <w:color w:val="000000"/>
          <w:sz w:val="21"/>
          <w:u w:val="single"/>
        </w:rPr>
        <w:t>Section 1.1</w:t>
      </w:r>
      <w:r>
        <w:rPr>
          <w:color w:val="000000"/>
        </w:rPr>
        <w:t xml:space="preserve"> </w:t>
      </w:r>
      <w:r>
        <w:rPr>
          <w:rFonts w:ascii="Times New Roman;serif" w:hAnsi="Times New Roman;serif"/>
          <w:b w:val="false"/>
          <w:color w:val="000000"/>
          <w:sz w:val="21"/>
        </w:rPr>
        <w:t>of the Agreement is hereby amended and restated in its entirety to read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1"/>
          <w:u w:val="single"/>
        </w:rPr>
        <w:t>Available Increase Amount</w:t>
      </w:r>
      <w:r>
        <w:rPr>
          <w:color w:val="000000"/>
        </w:rPr>
        <w:t xml:space="preserve">” </w:t>
      </w:r>
      <w:r>
        <w:rPr>
          <w:rFonts w:ascii="Times New Roman;serif" w:hAnsi="Times New Roman;serif"/>
          <w:b w:val="false"/>
          <w:color w:val="000000"/>
          <w:sz w:val="21"/>
        </w:rPr>
        <w:t>means, $0, as of any date of determination.</w:t>
      </w:r>
    </w:p>
    <w:p>
      <w:pPr>
        <w:pStyle w:val="TextBody"/>
        <w:bidi w:val="0"/>
        <w:spacing w:lineRule="auto" w:line="288" w:before="0" w:after="240"/>
        <w:ind w:left="0" w:right="0" w:firstLine="1440"/>
        <w:jc w:val="both"/>
        <w:rPr/>
      </w:pPr>
      <w:r>
        <w:rPr>
          <w:rFonts w:ascii="Times New Roman;serif" w:hAnsi="Times New Roman;serif"/>
          <w:b w:val="false"/>
          <w:color w:val="010000"/>
          <w:sz w:val="21"/>
        </w:rPr>
        <w:t>(b)    </w:t>
      </w:r>
      <w:r>
        <w:rPr>
          <w:rFonts w:ascii="Times New Roman;serif" w:hAnsi="Times New Roman;serif"/>
          <w:b w:val="false"/>
          <w:color w:val="000000"/>
          <w:sz w:val="21"/>
        </w:rPr>
        <w:t>Clause (a) of the definition of “</w:t>
      </w:r>
      <w:r>
        <w:rPr>
          <w:rFonts w:ascii="Times New Roman;serif" w:hAnsi="Times New Roman;serif"/>
          <w:b w:val="false"/>
          <w:color w:val="000000"/>
          <w:sz w:val="21"/>
          <w:u w:val="single"/>
        </w:rPr>
        <w:t>Borrowing Base</w:t>
      </w:r>
      <w:r>
        <w:rPr>
          <w:color w:val="000000"/>
        </w:rPr>
        <w:t xml:space="preserve">” </w:t>
      </w:r>
      <w:r>
        <w:rPr>
          <w:rFonts w:ascii="Times New Roman;serif" w:hAnsi="Times New Roman;serif"/>
          <w:b w:val="false"/>
          <w:color w:val="000000"/>
          <w:sz w:val="21"/>
        </w:rPr>
        <w:t xml:space="preserve">in </w:t>
      </w:r>
      <w:r>
        <w:rPr>
          <w:rFonts w:ascii="Times New Roman;serif" w:hAnsi="Times New Roman;serif"/>
          <w:b w:val="false"/>
          <w:color w:val="000000"/>
          <w:sz w:val="21"/>
          <w:u w:val="single"/>
        </w:rPr>
        <w:t>Section 1.1</w:t>
      </w:r>
      <w:r>
        <w:rPr>
          <w:color w:val="000000"/>
        </w:rPr>
        <w:t xml:space="preserve"> </w:t>
      </w:r>
      <w:r>
        <w:rPr>
          <w:rFonts w:ascii="Times New Roman;serif" w:hAnsi="Times New Roman;serif"/>
          <w:b w:val="false"/>
          <w:color w:val="000000"/>
          <w:sz w:val="21"/>
        </w:rPr>
        <w:t>of the Agreement is hereby amended and restated in its entirety to read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1"/>
        </w:rPr>
        <w:t>(a)    Applicable Advance Rate of the Borrower Pro Rata Hold of the fair value of the loans under the Eligible Obligor Loan Receivables; provided, however, that during any Quarterly Temporary Increase Period, the amount determined pursuant to this clause (a) shall not exceed an amount equal to $80,000,000, plus”</w:t>
      </w:r>
    </w:p>
    <w:p>
      <w:pPr>
        <w:pStyle w:val="TextBody"/>
        <w:bidi w:val="0"/>
        <w:spacing w:lineRule="auto" w:line="288" w:before="0" w:after="240"/>
        <w:ind w:left="0" w:right="0" w:firstLine="1440"/>
        <w:jc w:val="both"/>
        <w:rPr/>
      </w:pPr>
      <w:r>
        <w:rPr>
          <w:rFonts w:ascii="Times New Roman;serif" w:hAnsi="Times New Roman;serif"/>
          <w:b w:val="false"/>
          <w:color w:val="010000"/>
          <w:sz w:val="21"/>
        </w:rPr>
        <w:t>(c)    </w:t>
      </w:r>
      <w:r>
        <w:rPr>
          <w:rFonts w:ascii="Times New Roman;serif" w:hAnsi="Times New Roman;serif"/>
          <w:b w:val="false"/>
          <w:color w:val="000000"/>
          <w:sz w:val="21"/>
        </w:rPr>
        <w:t>The definition of “</w:t>
      </w:r>
      <w:r>
        <w:rPr>
          <w:rFonts w:ascii="Times New Roman;serif" w:hAnsi="Times New Roman;serif"/>
          <w:b w:val="false"/>
          <w:color w:val="000000"/>
          <w:sz w:val="21"/>
          <w:u w:val="single"/>
        </w:rPr>
        <w:t>Maximum Revolver Amount</w:t>
      </w:r>
      <w:r>
        <w:rPr>
          <w:color w:val="000000"/>
        </w:rPr>
        <w:t xml:space="preserve">” </w:t>
      </w:r>
      <w:r>
        <w:rPr>
          <w:rFonts w:ascii="Times New Roman;serif" w:hAnsi="Times New Roman;serif"/>
          <w:b w:val="false"/>
          <w:color w:val="000000"/>
          <w:sz w:val="21"/>
        </w:rPr>
        <w:t xml:space="preserve">in </w:t>
      </w:r>
      <w:r>
        <w:rPr>
          <w:rFonts w:ascii="Times New Roman;serif" w:hAnsi="Times New Roman;serif"/>
          <w:b w:val="false"/>
          <w:color w:val="000000"/>
          <w:sz w:val="21"/>
          <w:u w:val="single"/>
        </w:rPr>
        <w:t>Section 1.1</w:t>
      </w:r>
      <w:r>
        <w:rPr>
          <w:color w:val="000000"/>
        </w:rPr>
        <w:t xml:space="preserve"> </w:t>
      </w:r>
      <w:r>
        <w:rPr>
          <w:rFonts w:ascii="Times New Roman;serif" w:hAnsi="Times New Roman;serif"/>
          <w:b w:val="false"/>
          <w:color w:val="000000"/>
          <w:sz w:val="21"/>
        </w:rPr>
        <w:t>of the Agreement is hereby amended and restated in its entirety to read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1"/>
          <w:u w:val="single"/>
        </w:rPr>
        <w:t>Maximum Revolver Amount</w:t>
      </w:r>
      <w:r>
        <w:rPr>
          <w:color w:val="000000"/>
        </w:rPr>
        <w:t xml:space="preserve">’ </w:t>
      </w:r>
      <w:r>
        <w:rPr>
          <w:rFonts w:ascii="Times New Roman;serif" w:hAnsi="Times New Roman;serif"/>
          <w:b w:val="false"/>
          <w:color w:val="000000"/>
          <w:sz w:val="21"/>
        </w:rPr>
        <w:t>means (i) subject to Section 2.11, during any Quarterly Temporary Increase Period, an amount equal to $80,000,000 plus the applicable Quarterly Temporary Increase Amount; provided that the Maximum Revolver Amount shall not exceed $130,000,000, and (ii) at any other time, $80,000,000, in each case of the foregoing clauses (i) and (ii), decreased by the amount of reductions in the Commitments made in accordance with Section 2.3(c) of this Agreement and increased by the amount of any Increase made in accordance with Section 2.13 of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1"/>
        </w:rPr>
        <w:t>(d)    </w:t>
      </w:r>
      <w:r>
        <w:rPr>
          <w:rFonts w:ascii="Times New Roman;serif" w:hAnsi="Times New Roman;serif"/>
          <w:b w:val="false"/>
          <w:color w:val="000000"/>
          <w:sz w:val="21"/>
          <w:u w:val="single"/>
        </w:rPr>
        <w:t>Section 1.1</w:t>
      </w:r>
      <w:r>
        <w:rPr>
          <w:color w:val="000000"/>
        </w:rPr>
        <w:t xml:space="preserve"> </w:t>
      </w:r>
      <w:r>
        <w:rPr>
          <w:rFonts w:ascii="Times New Roman;serif" w:hAnsi="Times New Roman;serif"/>
          <w:b w:val="false"/>
          <w:color w:val="000000"/>
          <w:sz w:val="21"/>
        </w:rPr>
        <w:t>of the Agreement is hereby amended by adding the following defined terms in their appropriate alphabetical order to read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1"/>
          <w:u w:val="single"/>
        </w:rPr>
        <w:t>Amendment Number Ten Effective Date</w:t>
      </w:r>
      <w:r>
        <w:rPr>
          <w:color w:val="000000"/>
        </w:rPr>
        <w:t xml:space="preserve">’ </w:t>
      </w:r>
      <w:r>
        <w:rPr>
          <w:rFonts w:ascii="Times New Roman;serif" w:hAnsi="Times New Roman;serif"/>
          <w:b w:val="false"/>
          <w:color w:val="000000"/>
          <w:sz w:val="21"/>
        </w:rPr>
        <w:t xml:space="preserve">means September 25, 2026. </w:t>
      </w:r>
    </w:p>
    <w:p>
      <w:pPr>
        <w:pStyle w:val="TextBody"/>
        <w:bidi w:val="0"/>
        <w:spacing w:lineRule="auto" w:line="288" w:before="0" w:after="240"/>
        <w:jc w:val="both"/>
        <w:rPr/>
      </w:pPr>
      <w:r>
        <w:rPr>
          <w:color w:val="000000"/>
        </w:rPr>
        <w:t>‘</w:t>
      </w:r>
      <w:r>
        <w:rPr>
          <w:rFonts w:ascii="Times New Roman;serif" w:hAnsi="Times New Roman;serif"/>
          <w:b w:val="false"/>
          <w:color w:val="000000"/>
          <w:sz w:val="21"/>
          <w:u w:val="single"/>
        </w:rPr>
        <w:t>Quarterly Temporary Increase Amount</w:t>
      </w:r>
      <w:r>
        <w:rPr>
          <w:color w:val="000000"/>
        </w:rPr>
        <w:t xml:space="preserve">’ </w:t>
      </w:r>
      <w:r>
        <w:rPr>
          <w:rFonts w:ascii="Times New Roman;serif" w:hAnsi="Times New Roman;serif"/>
          <w:b w:val="false"/>
          <w:color w:val="000000"/>
          <w:sz w:val="21"/>
        </w:rPr>
        <w:t>means the amount specified in the applicable notice delivered pursuant to Section 2.11(a), which amount shall be in an integral multiple of $1,000,000 and shall not exceed $50,000,000.</w:t>
      </w:r>
    </w:p>
    <w:p>
      <w:pPr>
        <w:pStyle w:val="TextBody"/>
        <w:bidi w:val="0"/>
        <w:spacing w:lineRule="auto" w:line="288" w:before="0" w:after="240"/>
        <w:jc w:val="both"/>
        <w:rPr/>
      </w:pPr>
      <w:r>
        <w:rPr>
          <w:color w:val="000000"/>
        </w:rPr>
        <w:t>‘</w:t>
      </w:r>
      <w:r>
        <w:rPr>
          <w:rFonts w:ascii="Times New Roman;serif" w:hAnsi="Times New Roman;serif"/>
          <w:b w:val="false"/>
          <w:color w:val="000000"/>
          <w:sz w:val="21"/>
          <w:u w:val="single"/>
        </w:rPr>
        <w:t>Quarterly Temporary Increase Commencement Date</w:t>
      </w:r>
      <w:r>
        <w:rPr>
          <w:color w:val="000000"/>
        </w:rPr>
        <w:t xml:space="preserve">’ </w:t>
      </w:r>
      <w:r>
        <w:rPr>
          <w:rFonts w:ascii="Times New Roman;serif" w:hAnsi="Times New Roman;serif"/>
          <w:b w:val="false"/>
          <w:color w:val="000000"/>
          <w:sz w:val="21"/>
        </w:rPr>
        <w:t>means the date which is ten (10) days prior to the last day of each fiscal quarter of Administrative Borrower.</w:t>
      </w:r>
    </w:p>
    <w:p>
      <w:pPr>
        <w:pStyle w:val="TextBody"/>
        <w:bidi w:val="0"/>
        <w:spacing w:lineRule="auto" w:line="288" w:before="0" w:after="240"/>
        <w:jc w:val="both"/>
        <w:rPr/>
      </w:pPr>
      <w:r>
        <w:rPr>
          <w:color w:val="000000"/>
        </w:rPr>
        <w:t>‘</w:t>
      </w:r>
      <w:r>
        <w:rPr>
          <w:rFonts w:ascii="Times New Roman;serif" w:hAnsi="Times New Roman;serif"/>
          <w:b w:val="false"/>
          <w:color w:val="000000"/>
          <w:sz w:val="21"/>
          <w:u w:val="single"/>
        </w:rPr>
        <w:t>Quarterly Temporary Increase Period</w:t>
      </w:r>
      <w:r>
        <w:rPr>
          <w:color w:val="000000"/>
        </w:rPr>
        <w:t xml:space="preserve">’ </w:t>
      </w:r>
      <w:r>
        <w:rPr>
          <w:rFonts w:ascii="Times New Roman;serif" w:hAnsi="Times New Roman;serif"/>
          <w:b w:val="false"/>
          <w:color w:val="000000"/>
          <w:sz w:val="21"/>
        </w:rPr>
        <w:t xml:space="preserve">means, each period of time commencing on the Quarterly Temporary Increase Commencement Date and ending on the corresponding Quarterly Temporary Increase Termination Date. </w:t>
      </w:r>
    </w:p>
    <w:p>
      <w:pPr>
        <w:pStyle w:val="TextBody"/>
        <w:bidi w:val="0"/>
        <w:spacing w:lineRule="auto" w:line="288" w:before="0" w:after="240"/>
        <w:jc w:val="both"/>
        <w:rPr/>
      </w:pPr>
      <w:r>
        <w:rPr>
          <w:color w:val="000000"/>
        </w:rPr>
        <w:t>‘</w:t>
      </w:r>
      <w:r>
        <w:rPr>
          <w:rFonts w:ascii="Times New Roman;serif" w:hAnsi="Times New Roman;serif"/>
          <w:b w:val="false"/>
          <w:color w:val="000000"/>
          <w:sz w:val="21"/>
          <w:u w:val="single"/>
        </w:rPr>
        <w:t>Quarterly Temporary Increase Termination Date</w:t>
      </w:r>
      <w:r>
        <w:rPr>
          <w:color w:val="000000"/>
        </w:rPr>
        <w:t xml:space="preserve">’ </w:t>
      </w:r>
      <w:r>
        <w:rPr>
          <w:rFonts w:ascii="Times New Roman;serif" w:hAnsi="Times New Roman;serif"/>
          <w:b w:val="false"/>
          <w:color w:val="000000"/>
          <w:sz w:val="21"/>
        </w:rPr>
        <w:t>means the date that is twenty (20) days immediately following the end of the applicable fiscal quarter.”</w:t>
      </w:r>
    </w:p>
    <w:p>
      <w:pPr>
        <w:pStyle w:val="TextBody"/>
        <w:bidi w:val="0"/>
        <w:spacing w:lineRule="auto" w:line="288" w:before="0" w:after="240"/>
        <w:ind w:left="0" w:right="0" w:firstLine="1440"/>
        <w:jc w:val="both"/>
        <w:rPr/>
      </w:pPr>
      <w:r>
        <w:rPr>
          <w:rFonts w:ascii="Times New Roman;serif" w:hAnsi="Times New Roman;serif"/>
          <w:b w:val="false"/>
          <w:color w:val="010000"/>
          <w:sz w:val="21"/>
        </w:rPr>
        <w:t>(e)    </w:t>
      </w:r>
      <w:r>
        <w:rPr>
          <w:rFonts w:ascii="Times New Roman;serif" w:hAnsi="Times New Roman;serif"/>
          <w:b w:val="false"/>
          <w:color w:val="000000"/>
          <w:sz w:val="21"/>
        </w:rPr>
        <w:t>Section 2.9(c) of the Agreement is hereby amended and restated in its entirety to read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1"/>
        </w:rPr>
        <w:t>(c)    </w:t>
      </w:r>
      <w:r>
        <w:rPr>
          <w:rFonts w:ascii="Times New Roman;serif" w:hAnsi="Times New Roman;serif"/>
          <w:b/>
          <w:color w:val="000000"/>
          <w:sz w:val="21"/>
          <w:u w:val="single"/>
        </w:rPr>
        <w:t>Loan Fee</w:t>
      </w:r>
      <w:r>
        <w:rPr>
          <w:rFonts w:ascii="Times New Roman;serif" w:hAnsi="Times New Roman;serif"/>
          <w:b w:val="false"/>
          <w:color w:val="000000"/>
          <w:sz w:val="21"/>
        </w:rPr>
        <w:t>. Borrower shall pay to Agent, for the ratable account of the Lenders, (i) an annual loan fee in an amount equal to one quarter of one percent (0.25%) per annum times the Commitments (excluding any Quarterly Temporary Increase Amount) of Lenders, which fee shall be fully earned and payable on the Closing Date and each annual anniversary of the Closing Date thereafter and (ii) an additional loan fee in an amount equal to one twelfth (1/12) of one half of one percent (0.50%) times the applicable Quarterly Increase Amount requested for the applicable Quarterly Temporary Increase Period, which fee shall be fully earned and payable prior to the commencement of the applicable Quarterly Temporary Increase Period (the loan fees payable under this Section 2.9(c) collectively, the ‘</w:t>
      </w:r>
      <w:r>
        <w:rPr>
          <w:rFonts w:ascii="Times New Roman;serif" w:hAnsi="Times New Roman;serif"/>
          <w:b w:val="false"/>
          <w:color w:val="000000"/>
          <w:sz w:val="21"/>
          <w:u w:val="single"/>
        </w:rPr>
        <w:t>Loan Fee</w:t>
      </w:r>
      <w:r>
        <w:rPr>
          <w:color w:val="000000"/>
        </w:rPr>
        <w:t>’</w:t>
      </w:r>
      <w:r>
        <w:rPr>
          <w:rFonts w:ascii="Times New Roman;serif" w:hAnsi="Times New Roman;serif"/>
          <w:b w:val="false"/>
          <w:color w:val="000000"/>
          <w:sz w:val="21"/>
        </w:rPr>
        <w:t>).”</w:t>
      </w:r>
    </w:p>
    <w:p>
      <w:pPr>
        <w:pStyle w:val="TextBody"/>
        <w:bidi w:val="0"/>
        <w:spacing w:lineRule="auto" w:line="288" w:before="0" w:after="240"/>
        <w:ind w:left="0" w:right="0" w:firstLine="1440"/>
        <w:jc w:val="both"/>
        <w:rPr/>
      </w:pPr>
      <w:r>
        <w:rPr>
          <w:rFonts w:ascii="Times New Roman;serif" w:hAnsi="Times New Roman;serif"/>
          <w:b w:val="false"/>
          <w:color w:val="010000"/>
          <w:sz w:val="21"/>
        </w:rPr>
        <w:t>(f)    </w:t>
      </w:r>
      <w:r>
        <w:rPr>
          <w:rFonts w:ascii="Times New Roman;serif" w:hAnsi="Times New Roman;serif"/>
          <w:b w:val="false"/>
          <w:color w:val="000000"/>
          <w:sz w:val="21"/>
          <w:u w:val="single"/>
        </w:rPr>
        <w:t>Section 2.11</w:t>
      </w:r>
      <w:r>
        <w:rPr>
          <w:color w:val="000000"/>
        </w:rPr>
        <w:t xml:space="preserve"> </w:t>
      </w:r>
      <w:r>
        <w:rPr>
          <w:rFonts w:ascii="Times New Roman;serif" w:hAnsi="Times New Roman;serif"/>
          <w:b w:val="false"/>
          <w:color w:val="000000"/>
          <w:sz w:val="21"/>
        </w:rPr>
        <w:t>of the Agreement is hereby amended and restated in its entirety to read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050"/>
                <wp:effectExtent l="0" t="0" r="0" b="0"/>
                <wp:wrapNone/>
                <wp:docPr id="6" name="Frame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lineRule="atLeast" w:line="200"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color w:val="000000"/>
        </w:rPr>
        <w:t>“</w:t>
      </w:r>
      <w:r>
        <w:rPr>
          <w:rFonts w:ascii="Times New Roman;serif" w:hAnsi="Times New Roman;serif"/>
          <w:b w:val="false"/>
          <w:color w:val="000000"/>
          <w:sz w:val="21"/>
        </w:rPr>
        <w:t>2.11    </w:t>
      </w:r>
      <w:r>
        <w:rPr>
          <w:rFonts w:ascii="Times New Roman;serif" w:hAnsi="Times New Roman;serif"/>
          <w:b/>
          <w:color w:val="000000"/>
          <w:sz w:val="21"/>
          <w:u w:val="single"/>
        </w:rPr>
        <w:t>Quarterly Temporary Increases</w:t>
      </w:r>
      <w:r>
        <w:rPr>
          <w:rFonts w:ascii="Times New Roman;serif" w:hAnsi="Times New Roman;serif"/>
          <w:b w:val="false"/>
          <w:color w:val="000000"/>
          <w:sz w:val="21"/>
        </w:rPr>
        <w:t>. With respect to each Quarterly Temporary Increase Period:</w:t>
      </w:r>
    </w:p>
    <w:p>
      <w:pPr>
        <w:pStyle w:val="TextBody"/>
        <w:bidi w:val="0"/>
        <w:spacing w:lineRule="auto" w:line="288" w:before="0" w:after="240"/>
        <w:ind w:left="0" w:right="0" w:firstLine="720"/>
        <w:jc w:val="both"/>
        <w:rPr/>
      </w:pPr>
      <w:r>
        <w:rPr>
          <w:rFonts w:ascii="Times New Roman;serif" w:hAnsi="Times New Roman;serif"/>
          <w:b w:val="false"/>
          <w:color w:val="000000"/>
          <w:sz w:val="21"/>
        </w:rPr>
        <w:t>(a)    Administrative Borrower may elect to utilize a Quarterly Temporary Increase Period by delivering prior written notice to Agent not later than three (3) Business Days</w:t>
      </w:r>
      <w:r>
        <w:rPr>
          <w:color w:val="0000FF"/>
        </w:rPr>
        <w:t xml:space="preserve"> </w:t>
      </w:r>
      <w:r>
        <w:rPr>
          <w:rFonts w:ascii="Times New Roman;serif" w:hAnsi="Times New Roman;serif"/>
          <w:b w:val="false"/>
          <w:color w:val="000000"/>
          <w:sz w:val="21"/>
        </w:rPr>
        <w:t>(unless otherwise agreed by Agent in writing) prior to the commencement of such Quarterly Temporary Increase Period, which notice shall specify the Quarterly Temporary Increase Amount;</w:t>
      </w:r>
    </w:p>
    <w:p>
      <w:pPr>
        <w:pStyle w:val="TextBody"/>
        <w:bidi w:val="0"/>
        <w:spacing w:lineRule="auto" w:line="288" w:before="0" w:after="24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(b)    Upon Agent's receipt of such notice, the Maximum Revolver Amount shall automatically increase by the Quarterly Temporary Increase Amount during the applicable Quarterly Temporary Increase Period without any further action by any Borrower, Agent or Lender;</w:t>
      </w:r>
    </w:p>
    <w:p>
      <w:pPr>
        <w:pStyle w:val="TextBody"/>
        <w:bidi w:val="0"/>
        <w:spacing w:lineRule="auto" w:line="288" w:before="0" w:after="24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(c)    The Quarterly Temporary Increase Amount shall be available during each Quarterly Temporary Increase Period commencing on or after the Amendment Number Ten Effective Date, subject to satisfaction of the conditions set forth herein and in the other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1"/>
        </w:rPr>
        <w:t>(d)    Notwithstanding anything to the contrary in Section 2.11(a), the first Quarterly Temporary Increase Period available to Borrowers shall be the period from September 20, 2026 through October 20, 2026 for the fiscal quarter period ending September 30, 2026 (the “</w:t>
      </w:r>
      <w:r>
        <w:rPr>
          <w:rFonts w:ascii="Times New Roman;serif" w:hAnsi="Times New Roman;serif"/>
          <w:b w:val="false"/>
          <w:color w:val="000000"/>
          <w:sz w:val="21"/>
          <w:u w:val="single"/>
        </w:rPr>
        <w:t>Initial Quarterly Temporary Increase Period</w:t>
      </w:r>
      <w:r>
        <w:rPr>
          <w:color w:val="000000"/>
        </w:rPr>
        <w:t>”</w:t>
      </w:r>
      <w:r>
        <w:rPr>
          <w:rFonts w:ascii="Times New Roman;serif" w:hAnsi="Times New Roman;serif"/>
          <w:b w:val="false"/>
          <w:color w:val="000000"/>
          <w:sz w:val="21"/>
        </w:rPr>
        <w:t>); provided that notice shall be delivered on the Amendment Number Ten Effective Date; and</w:t>
      </w:r>
    </w:p>
    <w:p>
      <w:pPr>
        <w:pStyle w:val="TextBody"/>
        <w:bidi w:val="0"/>
        <w:spacing w:lineRule="auto" w:line="288" w:before="0" w:after="24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(e)    Borrowers acknowledge and agree that the Quarterly Temporary Increase is being made available solely as an accommodation by Agent and Lenders in connection with Borrowers' business and regulatory requirements. Notwithstanding anything to the contrary contained in any Loan Document, neither Agent nor any Lender shall have any obligation to monitor, administer, determine, verify or ensure Borrowers’ compliance with any applicable regulatory requirements, and no failure by Agent or any Lender to do so shall create any liability for Agent or any Lender or affect the Obligations or any rights or remedies of Agent or any Lender under the Loan Documents.”</w:t>
      </w:r>
    </w:p>
    <w:p>
      <w:pPr>
        <w:pStyle w:val="TextBody"/>
        <w:bidi w:val="0"/>
        <w:spacing w:lineRule="auto" w:line="288" w:before="0" w:after="240"/>
        <w:ind w:left="0" w:right="0" w:firstLine="720"/>
        <w:jc w:val="both"/>
        <w:rPr/>
      </w:pPr>
      <w:r>
        <w:rPr>
          <w:rFonts w:ascii="Times New Roman;serif" w:hAnsi="Times New Roman;serif"/>
          <w:b w:val="false"/>
          <w:color w:val="010000"/>
          <w:sz w:val="21"/>
        </w:rPr>
        <w:t>3.    </w:t>
      </w:r>
      <w:r>
        <w:rPr>
          <w:rFonts w:ascii="Times New Roman;serif" w:hAnsi="Times New Roman;serif"/>
          <w:b/>
          <w:color w:val="000000"/>
          <w:sz w:val="21"/>
          <w:u w:val="single"/>
        </w:rPr>
        <w:t>RESERVED</w:t>
      </w:r>
      <w:r>
        <w:rPr>
          <w:rFonts w:ascii="Times New Roman;serif" w:hAnsi="Times New Roman;serif"/>
          <w:b w:val="false"/>
          <w:color w:val="000000"/>
          <w:sz w:val="21"/>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1"/>
        </w:rPr>
        <w:t>4.    </w:t>
      </w:r>
      <w:r>
        <w:rPr>
          <w:rFonts w:ascii="Times New Roman;serif" w:hAnsi="Times New Roman;serif"/>
          <w:b/>
          <w:color w:val="000000"/>
          <w:sz w:val="21"/>
          <w:u w:val="single"/>
        </w:rPr>
        <w:t>REPRESENTATIONS AND WARRANTIES</w:t>
      </w:r>
      <w:r>
        <w:rPr>
          <w:rFonts w:ascii="Times New Roman;serif" w:hAnsi="Times New Roman;serif"/>
          <w:b w:val="false"/>
          <w:color w:val="000000"/>
          <w:sz w:val="21"/>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1"/>
        </w:rPr>
        <w:t>(a)    </w:t>
      </w:r>
      <w:r>
        <w:rPr>
          <w:rFonts w:ascii="Times New Roman;serif" w:hAnsi="Times New Roman;serif"/>
          <w:b w:val="false"/>
          <w:color w:val="000000"/>
          <w:sz w:val="21"/>
        </w:rPr>
        <w:t>Each Borrower hereby affirms to Agent and the Lenders that all of its representations and warranties set forth in the Loan Documents, after giving effect to this Amendment, are true, complete and accurate in all material respects except that such materiality qualifier shall not be applicable to any representations and warranties that already are qualified or modified by materiality in the text thereof as of the date hereof (except to the extent that such representations and warranties relate solely to an earlier date).</w:t>
      </w:r>
    </w:p>
    <w:p>
      <w:pPr>
        <w:pStyle w:val="TextBody"/>
        <w:bidi w:val="0"/>
        <w:spacing w:lineRule="auto" w:line="288" w:before="0" w:after="240"/>
        <w:ind w:left="0" w:right="0" w:firstLine="1440"/>
        <w:jc w:val="both"/>
        <w:rPr/>
      </w:pPr>
      <w:r>
        <w:rPr>
          <w:rFonts w:ascii="Times New Roman;serif" w:hAnsi="Times New Roman;serif"/>
          <w:b w:val="false"/>
          <w:color w:val="010000"/>
          <w:sz w:val="21"/>
        </w:rPr>
        <w:t>(b)    </w:t>
      </w:r>
      <w:r>
        <w:rPr>
          <w:rFonts w:ascii="Times New Roman;serif" w:hAnsi="Times New Roman;serif"/>
          <w:b w:val="false"/>
          <w:color w:val="000000"/>
          <w:sz w:val="21"/>
        </w:rPr>
        <w:t xml:space="preserve">Each Borrower represents and warrants as of the date hereof that (i) Borrower has the requisite corporate power and authority to execute and deliver this Amendment, and to perform its obligations hereunder and under the Loan Documents (as amended hereby) to which it is a party and (ii) the execution, delivery and performance by such Borrower of this Amendment have been duly approved by all necessary corporate action and does not (A) violate any material provision of federal, state, or local law or regulation applicable to Borrower or its Subsidiaries or (B) conflict with, result in a breach of, or constitute (with due notice or lapse of time or both) a default under any material contract of such Borrower or its Subsidiaries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050"/>
                <wp:effectExtent l="0" t="0" r="0" b="0"/>
                <wp:wrapNone/>
                <wp:docPr id="7" name="Frame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lineRule="atLeast" w:line="200"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1"/>
        </w:rPr>
      </w:pPr>
      <w:r>
        <w:rPr>
          <w:rFonts w:ascii="Times New Roman;serif" w:hAnsi="Times New Roman;serif"/>
          <w:b w:val="false"/>
          <w:color w:val="000000"/>
          <w:sz w:val="21"/>
        </w:rPr>
        <w:t>except to the extent that any such conflict, breach or default could not individually or in the aggregate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10000"/>
          <w:sz w:val="21"/>
        </w:rPr>
        <w:t>(c)    </w:t>
      </w:r>
      <w:r>
        <w:rPr>
          <w:rFonts w:ascii="Times New Roman;serif" w:hAnsi="Times New Roman;serif"/>
          <w:b w:val="false"/>
          <w:color w:val="000000"/>
          <w:sz w:val="21"/>
        </w:rPr>
        <w:t>Each Borrower represents and warrants as of the date hereof that this Amendment (i) has been duly executed and delivered by Borrower, (ii) is the legal, valid and binding obligation of Borrower, enforceable against such Borrower in accordance with its terms, and is in full force and effect, except to the extent that (A) the enforceability thereof may be limited by bankruptcy, insolvency, reorganization, moratorium or other laws relating to or affecting generally the enforcement of creditors’ rights or general principles of equity or (B) the availability of the remedies of specific performance or injunctive relief are subject to the discretion of the court before which any proceeding therefor may be brought, and (iii) does not and will not violate any material provision of the Governing Documents of such Borrower or its Subsidiaries.</w:t>
      </w:r>
    </w:p>
    <w:p>
      <w:pPr>
        <w:pStyle w:val="TextBody"/>
        <w:bidi w:val="0"/>
        <w:spacing w:lineRule="auto" w:line="288" w:before="0" w:after="240"/>
        <w:ind w:left="0" w:right="0" w:firstLine="720"/>
        <w:jc w:val="both"/>
        <w:rPr/>
      </w:pPr>
      <w:r>
        <w:rPr>
          <w:rFonts w:ascii="Times New Roman;serif" w:hAnsi="Times New Roman;serif"/>
          <w:b w:val="false"/>
          <w:color w:val="010000"/>
          <w:sz w:val="21"/>
        </w:rPr>
        <w:t>5.    </w:t>
      </w:r>
      <w:r>
        <w:rPr>
          <w:rFonts w:ascii="Times New Roman;serif" w:hAnsi="Times New Roman;serif"/>
          <w:b/>
          <w:color w:val="000000"/>
          <w:sz w:val="21"/>
          <w:u w:val="single"/>
        </w:rPr>
        <w:t>NO DEFAULTS</w:t>
      </w:r>
      <w:r>
        <w:rPr>
          <w:rFonts w:ascii="Times New Roman;serif" w:hAnsi="Times New Roman;serif"/>
          <w:b w:val="false"/>
          <w:color w:val="000000"/>
          <w:sz w:val="21"/>
        </w:rPr>
        <w:t>. Each Borrower hereby affirms to Agent and the Lenders that no Default or Event of Default has occurred and is continuing as of the date hereof.</w:t>
      </w:r>
    </w:p>
    <w:p>
      <w:pPr>
        <w:pStyle w:val="TextBody"/>
        <w:bidi w:val="0"/>
        <w:spacing w:lineRule="auto" w:line="288" w:before="0" w:after="240"/>
        <w:ind w:left="0" w:right="0" w:firstLine="720"/>
        <w:jc w:val="both"/>
        <w:rPr/>
      </w:pPr>
      <w:r>
        <w:rPr>
          <w:rFonts w:ascii="Times New Roman;serif" w:hAnsi="Times New Roman;serif"/>
          <w:b w:val="false"/>
          <w:color w:val="010000"/>
          <w:sz w:val="21"/>
        </w:rPr>
        <w:t>6.    </w:t>
      </w:r>
      <w:r>
        <w:rPr>
          <w:rFonts w:ascii="Times New Roman;serif" w:hAnsi="Times New Roman;serif"/>
          <w:b/>
          <w:color w:val="000000"/>
          <w:sz w:val="21"/>
          <w:u w:val="single"/>
        </w:rPr>
        <w:t>CONDITIONS PRECEDENT</w:t>
      </w:r>
      <w:r>
        <w:rPr>
          <w:rFonts w:ascii="Times New Roman;serif" w:hAnsi="Times New Roman;serif"/>
          <w:b w:val="false"/>
          <w:color w:val="000000"/>
          <w:sz w:val="21"/>
        </w:rPr>
        <w:t>. The effectiveness of this Amendment is expressly conditioned upon fulfillment of each of the following conditions precedent, each in form and substance satisfactory to Agent:</w:t>
      </w:r>
    </w:p>
    <w:p>
      <w:pPr>
        <w:pStyle w:val="TextBody"/>
        <w:bidi w:val="0"/>
        <w:spacing w:lineRule="auto" w:line="288" w:before="0" w:after="240"/>
        <w:ind w:left="0" w:right="0" w:firstLine="1440"/>
        <w:jc w:val="both"/>
        <w:rPr/>
      </w:pPr>
      <w:r>
        <w:rPr>
          <w:rFonts w:ascii="Times New Roman;serif" w:hAnsi="Times New Roman;serif"/>
          <w:b w:val="false"/>
          <w:color w:val="010000"/>
          <w:sz w:val="21"/>
        </w:rPr>
        <w:t>(a)    </w:t>
      </w:r>
      <w:r>
        <w:rPr>
          <w:rFonts w:ascii="Times New Roman;serif" w:hAnsi="Times New Roman;serif"/>
          <w:b w:val="false"/>
          <w:color w:val="000000"/>
          <w:sz w:val="21"/>
        </w:rPr>
        <w:t>A duly executed copy of this Amendment;</w:t>
      </w:r>
    </w:p>
    <w:p>
      <w:pPr>
        <w:pStyle w:val="TextBody"/>
        <w:bidi w:val="0"/>
        <w:spacing w:lineRule="auto" w:line="288" w:before="0" w:after="240"/>
        <w:ind w:left="0" w:right="0" w:firstLine="1440"/>
        <w:jc w:val="both"/>
        <w:rPr/>
      </w:pPr>
      <w:r>
        <w:rPr>
          <w:rFonts w:ascii="Times New Roman;serif" w:hAnsi="Times New Roman;serif"/>
          <w:b w:val="false"/>
          <w:color w:val="010000"/>
          <w:sz w:val="21"/>
        </w:rPr>
        <w:t>(b)    </w:t>
      </w:r>
      <w:r>
        <w:rPr>
          <w:rFonts w:ascii="Times New Roman;serif" w:hAnsi="Times New Roman;serif"/>
          <w:b w:val="false"/>
          <w:color w:val="000000"/>
          <w:sz w:val="21"/>
        </w:rPr>
        <w:t>A duly executed copy of the Reaffirmation and Agreement of Guaranty attached to this Amendment, duly executed by TRS in connection with that certain Guaranty and Security Agreement, dated as of the date hereof, executed and delivered by TRS in favor of Agent (“</w:t>
      </w:r>
      <w:r>
        <w:rPr>
          <w:rFonts w:ascii="Times New Roman;serif" w:hAnsi="Times New Roman;serif"/>
          <w:b w:val="false"/>
          <w:color w:val="000000"/>
          <w:sz w:val="21"/>
          <w:u w:val="single"/>
        </w:rPr>
        <w:t>Guaranty</w:t>
      </w:r>
      <w:r>
        <w:rPr>
          <w:color w:val="000000"/>
        </w:rPr>
        <w:t>”</w:t>
      </w:r>
      <w:r>
        <w:rPr>
          <w:rFonts w:ascii="Times New Roman;serif" w:hAnsi="Times New Roman;serif"/>
          <w:b w:val="false"/>
          <w:color w:val="000000"/>
          <w:sz w:val="21"/>
        </w:rPr>
        <w:t>);</w:t>
      </w:r>
    </w:p>
    <w:p>
      <w:pPr>
        <w:pStyle w:val="TextBody"/>
        <w:bidi w:val="0"/>
        <w:spacing w:lineRule="auto" w:line="288" w:before="0" w:after="240"/>
        <w:ind w:left="0" w:right="0" w:firstLine="1440"/>
        <w:jc w:val="both"/>
        <w:rPr/>
      </w:pPr>
      <w:r>
        <w:rPr>
          <w:rFonts w:ascii="Times New Roman;serif" w:hAnsi="Times New Roman;serif"/>
          <w:b w:val="false"/>
          <w:color w:val="010000"/>
          <w:sz w:val="21"/>
        </w:rPr>
        <w:t>(c)    </w:t>
      </w:r>
      <w:r>
        <w:rPr>
          <w:rFonts w:ascii="Times New Roman;serif" w:hAnsi="Times New Roman;serif"/>
          <w:b w:val="false"/>
          <w:color w:val="000000"/>
          <w:sz w:val="21"/>
        </w:rPr>
        <w:t>Receipt by Agent of a written notice by Administrative Borrower for a Quarterly Temporary Increase Period to commence for the period beginning on the Tenth Amendment Effective Date through the applicable Quarterly Temporary Increase Termination Date (“</w:t>
      </w:r>
      <w:r>
        <w:rPr>
          <w:rFonts w:ascii="Times New Roman;serif" w:hAnsi="Times New Roman;serif"/>
          <w:b w:val="false"/>
          <w:color w:val="000000"/>
          <w:sz w:val="21"/>
          <w:u w:val="single"/>
        </w:rPr>
        <w:t>September Notice</w:t>
      </w:r>
      <w:r>
        <w:rPr>
          <w:color w:val="000000"/>
        </w:rPr>
        <w:t>”</w:t>
      </w:r>
      <w:r>
        <w:rPr>
          <w:rFonts w:ascii="Times New Roman;serif" w:hAnsi="Times New Roman;serif"/>
          <w:b w:val="false"/>
          <w:color w:val="000000"/>
          <w:sz w:val="21"/>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1"/>
        </w:rPr>
        <w:t>(d)    </w:t>
      </w:r>
      <w:r>
        <w:rPr>
          <w:rFonts w:ascii="Times New Roman;serif" w:hAnsi="Times New Roman;serif"/>
          <w:b w:val="false"/>
          <w:color w:val="000000"/>
          <w:sz w:val="21"/>
        </w:rPr>
        <w:t xml:space="preserve">Receipt by Agent, for the ratable account of </w:t>
      </w:r>
      <w:r>
        <w:rPr>
          <w:rFonts w:ascii="TimesNewRomanPSMT;sans-serif" w:hAnsi="TimesNewRomanPSMT;sans-serif"/>
          <w:b w:val="false"/>
          <w:color w:val="000000"/>
          <w:sz w:val="21"/>
        </w:rPr>
        <w:t>[***]</w:t>
      </w:r>
      <w:r>
        <w:rPr>
          <w:color w:val="000000"/>
        </w:rPr>
        <w:t xml:space="preserve"> </w:t>
      </w:r>
      <w:r>
        <w:rPr>
          <w:rFonts w:ascii="Times New Roman;serif" w:hAnsi="Times New Roman;serif"/>
          <w:b w:val="false"/>
          <w:color w:val="000000"/>
          <w:sz w:val="21"/>
        </w:rPr>
        <w:t xml:space="preserve">in its capacity as a Lender, of the applicable Loan Fee calculated in accordance with Section 2.9(c)(ii) of the Agreement based on the Quarterly Temporary Increase Amount requested in the September Notice for the Initial Quarterly Temporary Increase Period; </w:t>
      </w:r>
    </w:p>
    <w:p>
      <w:pPr>
        <w:pStyle w:val="TextBody"/>
        <w:bidi w:val="0"/>
        <w:spacing w:lineRule="auto" w:line="288" w:before="0" w:after="240"/>
        <w:ind w:left="0" w:right="0" w:firstLine="1440"/>
        <w:jc w:val="both"/>
        <w:rPr/>
      </w:pPr>
      <w:r>
        <w:rPr>
          <w:rFonts w:ascii="Times New Roman;serif" w:hAnsi="Times New Roman;serif"/>
          <w:b w:val="false"/>
          <w:color w:val="010000"/>
          <w:sz w:val="21"/>
        </w:rPr>
        <w:t>(e)    </w:t>
      </w:r>
      <w:r>
        <w:rPr>
          <w:rFonts w:ascii="Times New Roman;serif" w:hAnsi="Times New Roman;serif"/>
          <w:b w:val="false"/>
          <w:color w:val="000000"/>
          <w:sz w:val="21"/>
        </w:rPr>
        <w:t>Borrowers shall have paid or reimbursed all Lender Group Expenses incurred in connection with the transactions evidenced by this Amendment and all fees payable in accordance with the Fee Letter, in each case, to the extent then due and payable; and</w:t>
      </w:r>
    </w:p>
    <w:p>
      <w:pPr>
        <w:pStyle w:val="TextBody"/>
        <w:bidi w:val="0"/>
        <w:spacing w:lineRule="auto" w:line="288" w:before="0" w:after="240"/>
        <w:ind w:left="0" w:right="0" w:firstLine="1440"/>
        <w:jc w:val="both"/>
        <w:rPr/>
      </w:pPr>
      <w:r>
        <w:rPr>
          <w:rFonts w:ascii="Times New Roman;serif" w:hAnsi="Times New Roman;serif"/>
          <w:b w:val="false"/>
          <w:color w:val="010000"/>
          <w:sz w:val="21"/>
        </w:rPr>
        <w:t>(f)    </w:t>
      </w:r>
      <w:r>
        <w:rPr>
          <w:rFonts w:ascii="Times New Roman;serif" w:hAnsi="Times New Roman;serif"/>
          <w:b w:val="false"/>
          <w:color w:val="000000"/>
          <w:sz w:val="21"/>
        </w:rPr>
        <w:t>Receipt by Agent of such other agreements, instruments, and documents contemplated by this Amendment or reasonably requested by Agent in connection with this Amendment.</w:t>
      </w:r>
    </w:p>
    <w:p>
      <w:pPr>
        <w:pStyle w:val="TextBody"/>
        <w:bidi w:val="0"/>
        <w:spacing w:lineRule="auto" w:line="288" w:before="0" w:after="240"/>
        <w:ind w:left="0" w:right="0" w:firstLine="720"/>
        <w:jc w:val="both"/>
        <w:rPr/>
      </w:pPr>
      <w:r>
        <w:rPr>
          <w:rFonts w:ascii="Times New Roman;serif" w:hAnsi="Times New Roman;serif"/>
          <w:b w:val="false"/>
          <w:color w:val="010000"/>
          <w:sz w:val="21"/>
        </w:rPr>
        <w:t>7.    </w:t>
      </w:r>
      <w:r>
        <w:rPr>
          <w:rFonts w:ascii="Times New Roman;serif" w:hAnsi="Times New Roman;serif"/>
          <w:b/>
          <w:color w:val="000000"/>
          <w:sz w:val="21"/>
          <w:u w:val="single"/>
        </w:rPr>
        <w:t>ACKNOWLEDGEMENT</w:t>
      </w:r>
      <w:r>
        <w:rPr>
          <w:rFonts w:ascii="Times New Roman;serif" w:hAnsi="Times New Roman;serif"/>
          <w:b/>
          <w:color w:val="000000"/>
          <w:sz w:val="21"/>
        </w:rPr>
        <w:t>.</w:t>
      </w:r>
      <w:r>
        <w:rPr>
          <w:color w:val="000000"/>
        </w:rPr>
        <w:t xml:space="preserve"> </w:t>
      </w:r>
      <w:r>
        <w:rPr>
          <w:rFonts w:ascii="Times New Roman;serif" w:hAnsi="Times New Roman;serif"/>
          <w:b w:val="false"/>
          <w:color w:val="000000"/>
          <w:sz w:val="21"/>
        </w:rPr>
        <w:t>Each Borrower hereby acknowledges and reaffirms (a) all of its obligations and duties under the Loan Documents, and (b) that Agent, for the ratable benefit of the Lender Group, has and shall continue to have valid, perfected Liens in the Collateral.</w:t>
      </w:r>
    </w:p>
    <w:p>
      <w:pPr>
        <w:pStyle w:val="TextBody"/>
        <w:bidi w:val="0"/>
        <w:spacing w:lineRule="auto" w:line="288" w:before="0" w:after="240"/>
        <w:ind w:left="0" w:right="0" w:firstLine="720"/>
        <w:jc w:val="both"/>
        <w:rPr/>
      </w:pPr>
      <w:r>
        <w:rPr>
          <w:rFonts w:ascii="Times New Roman;serif" w:hAnsi="Times New Roman;serif"/>
          <w:b w:val="false"/>
          <w:color w:val="010000"/>
          <w:sz w:val="21"/>
        </w:rPr>
        <w:t>8.    </w:t>
      </w:r>
      <w:r>
        <w:rPr>
          <w:rFonts w:ascii="Times New Roman;serif" w:hAnsi="Times New Roman;serif"/>
          <w:b/>
          <w:color w:val="000000"/>
          <w:sz w:val="21"/>
          <w:u w:val="single"/>
        </w:rPr>
        <w:t>COSTS AND EXPENSES</w:t>
      </w:r>
      <w:r>
        <w:rPr>
          <w:rFonts w:ascii="Times New Roman;serif" w:hAnsi="Times New Roman;serif"/>
          <w:b w:val="false"/>
          <w:color w:val="000000"/>
          <w:sz w:val="21"/>
        </w:rPr>
        <w:t>. Borrowers shall pay to Agent all of Lenders’ reasonable and documented out-of-pocket costs and expenses (including, without limitation, the reasonable and documented fees and expenses of its counsel, which counsel may include any local counsel deemed necessary, search fees, filing and recording fees, documentation fees, appraisal fees, travel expenses, and other fees) arising in connection with the preparation, execution, and delivery of this Amendment and all related documents as well as expenses related to the maintenance of the facility (such as periodic searches).</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050"/>
                <wp:effectExtent l="0" t="0" r="0" b="0"/>
                <wp:wrapNone/>
                <wp:docPr id="8" name="Frame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lineRule="atLeast" w:line="200"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val="false"/>
          <w:color w:val="010000"/>
          <w:sz w:val="21"/>
        </w:rPr>
        <w:t>9.    </w:t>
      </w:r>
      <w:r>
        <w:rPr>
          <w:rFonts w:ascii="Times New Roman;serif" w:hAnsi="Times New Roman;serif"/>
          <w:b/>
          <w:color w:val="000000"/>
          <w:sz w:val="21"/>
          <w:u w:val="single"/>
        </w:rPr>
        <w:t>LIMITED EFFECT</w:t>
      </w:r>
      <w:r>
        <w:rPr>
          <w:rFonts w:ascii="Times New Roman;serif" w:hAnsi="Times New Roman;serif"/>
          <w:b w:val="false"/>
          <w:color w:val="000000"/>
          <w:sz w:val="21"/>
        </w:rPr>
        <w:t>. In the event of a conflict between the terms and provisions of this Amendment and the terms and provisions of the Agreement, the terms and provisions of this Amendment shall govern. In all other respects, the Agreement, as amended and supplemented hereby, 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10000"/>
          <w:sz w:val="21"/>
        </w:rPr>
        <w:t>10.    </w:t>
      </w:r>
      <w:r>
        <w:rPr>
          <w:rFonts w:ascii="Times New Roman;serif" w:hAnsi="Times New Roman;serif"/>
          <w:b/>
          <w:color w:val="000000"/>
          <w:sz w:val="21"/>
          <w:u w:val="single"/>
        </w:rPr>
        <w:t>COUNTERPARTS; EFFECTIVENESS</w:t>
      </w:r>
      <w:r>
        <w:rPr>
          <w:rFonts w:ascii="Times New Roman;serif" w:hAnsi="Times New Roman;serif"/>
          <w:b w:val="false"/>
          <w:color w:val="000000"/>
          <w:sz w:val="21"/>
        </w:rPr>
        <w:t xml:space="preserve">. This Amendment may be executed in any number of counterparts and by different parties on separate counterparts, each of which when so executed and delivered shall be deemed to be an original. All such counterparts, taken together, shall constitute but one and the same Amendment. This Amendment shall become effective upon the execution of a counterpart of this Amendment by each of the parties hereto and satisfaction of each of the other conditions precedent set forth in </w:t>
      </w:r>
      <w:r>
        <w:rPr>
          <w:rFonts w:ascii="Times New Roman;serif" w:hAnsi="Times New Roman;serif"/>
          <w:b w:val="false"/>
          <w:color w:val="000000"/>
          <w:sz w:val="21"/>
          <w:u w:val="single"/>
        </w:rPr>
        <w:t xml:space="preserve">Section 6 </w:t>
      </w:r>
      <w:r>
        <w:rPr>
          <w:rFonts w:ascii="Times New Roman;serif" w:hAnsi="Times New Roman;serif"/>
          <w:b w:val="false"/>
          <w:color w:val="000000"/>
          <w:sz w:val="21"/>
        </w:rPr>
        <w:t>hereof. This Amendment is a Loan Document and is subject to all the terms and conditions, and entitled to all the protections, applicable to Loan Documents generally.</w:t>
      </w:r>
      <w:r>
        <w:rPr>
          <w:color w:val="000000"/>
        </w:rPr>
        <w:t xml:space="preserve"> </w:t>
      </w:r>
      <w:r>
        <w:rPr>
          <w:rFonts w:ascii="Times New Roman;serif" w:hAnsi="Times New Roman;serif"/>
          <w:b w:val="false"/>
          <w:color w:val="000000"/>
          <w:sz w:val="21"/>
        </w:rPr>
        <w:t>Delivery of an executed counterpart of this Amendment by telefacsimile or .pdf shall be equally effective as delivery of a manually executed counterpart.</w:t>
      </w:r>
    </w:p>
    <w:p>
      <w:pPr>
        <w:pStyle w:val="TextBody"/>
        <w:bidi w:val="0"/>
        <w:spacing w:lineRule="auto" w:line="288" w:before="0" w:after="240"/>
        <w:ind w:left="0" w:right="0" w:firstLine="720"/>
        <w:jc w:val="both"/>
        <w:rPr/>
      </w:pPr>
      <w:r>
        <w:rPr>
          <w:rFonts w:ascii="Times New Roman;serif" w:hAnsi="Times New Roman;serif"/>
          <w:b w:val="false"/>
          <w:color w:val="010000"/>
          <w:sz w:val="21"/>
        </w:rPr>
        <w:t>11.    </w:t>
      </w:r>
      <w:r>
        <w:rPr>
          <w:rFonts w:ascii="Times New Roman;serif" w:hAnsi="Times New Roman;serif"/>
          <w:b/>
          <w:color w:val="000000"/>
          <w:sz w:val="21"/>
          <w:u w:val="single"/>
        </w:rPr>
        <w:t>CHOICE OF LAW AND VENUE; JURY TRIAL WAIVER; JUDICIAL REFERENCE</w:t>
      </w:r>
      <w:r>
        <w:rPr>
          <w:rFonts w:ascii="Times New Roman;serif" w:hAnsi="Times New Roman;serif"/>
          <w:b w:val="false"/>
          <w:color w:val="000000"/>
          <w:sz w:val="21"/>
        </w:rPr>
        <w:t xml:space="preserve">. </w:t>
      </w:r>
      <w:r>
        <w:rPr>
          <w:rFonts w:ascii="Times New Roman;serif" w:hAnsi="Times New Roman;serif"/>
          <w:b w:val="false"/>
          <w:color w:val="000000"/>
          <w:sz w:val="21"/>
          <w:u w:val="single"/>
        </w:rPr>
        <w:t>Section 13</w:t>
      </w:r>
      <w:r>
        <w:rPr>
          <w:color w:val="000000"/>
        </w:rPr>
        <w:t xml:space="preserve"> </w:t>
      </w:r>
      <w:r>
        <w:rPr>
          <w:rFonts w:ascii="Times New Roman;serif" w:hAnsi="Times New Roman;serif"/>
          <w:b w:val="false"/>
          <w:color w:val="000000"/>
          <w:sz w:val="21"/>
        </w:rPr>
        <w:t xml:space="preserve">of the Agreement is incorporated herein by reference </w:t>
      </w:r>
      <w:r>
        <w:rPr>
          <w:rFonts w:ascii="Times New Roman;serif" w:hAnsi="Times New Roman;serif"/>
          <w:b w:val="false"/>
          <w:i/>
          <w:color w:val="000000"/>
          <w:sz w:val="21"/>
        </w:rPr>
        <w:t>mutatis mutandis.</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1"/>
        </w:rPr>
        <w:t>[</w:t>
      </w:r>
      <w:r>
        <w:rPr>
          <w:rFonts w:ascii="Times New Roman;serif" w:hAnsi="Times New Roman;serif"/>
          <w:b w:val="false"/>
          <w:i/>
          <w:color w:val="000000"/>
          <w:sz w:val="21"/>
        </w:rPr>
        <w:t>Signatures on next page.</w:t>
      </w:r>
      <w:r>
        <w:rPr>
          <w:rFonts w:ascii="Times New Roman;serif" w:hAnsi="Times New Roman;serif"/>
          <w:b w:val="false"/>
          <w:color w:val="000000"/>
          <w:sz w:val="21"/>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050"/>
                <wp:effectExtent l="0" t="0" r="0" b="0"/>
                <wp:wrapNone/>
                <wp:docPr id="9" name="Frame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lineRule="atLeast" w:line="200"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IN WITNESS WHEREOF, the parties hereto have executed this Amendment as of the date first set forth above.</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as Agent, Lead Arranger, </w:t>
        <w:br/>
        <w:t>Book Runner and the sole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By: </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Name: [***]</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7050"/>
                <wp:effectExtent l="0" t="0" r="0" b="0"/>
                <wp:wrapNone/>
                <wp:docPr id="10" name="Frame9"/>
                <a:graphic xmlns:a="http://schemas.openxmlformats.org/drawingml/2006/main">
                  <a:graphicData uri="http://schemas.microsoft.com/office/word/2010/wordprocessingShape">
                    <wps:wsp>
                      <wps:cNvSpPr txBox="1"/>
                      <wps:spPr>
                        <a:xfrm>
                          <a:off x="0" y="0"/>
                          <a:ext cx="6480175" cy="5270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Number Ten</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Number Ten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 Loan and Security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638" w:type="dxa"/>
        <w:jc w:val="left"/>
        <w:tblInd w:w="0" w:type="dxa"/>
        <w:tblLayout w:type="fixed"/>
        <w:tblCellMar>
          <w:top w:w="28" w:type="dxa"/>
          <w:left w:w="28" w:type="dxa"/>
          <w:bottom w:w="28" w:type="dxa"/>
          <w:right w:w="28" w:type="dxa"/>
        </w:tblCellMar>
      </w:tblPr>
      <w:tblGrid>
        <w:gridCol w:w="571"/>
        <w:gridCol w:w="501"/>
        <w:gridCol w:w="502"/>
        <w:gridCol w:w="1189"/>
        <w:gridCol w:w="1189"/>
        <w:gridCol w:w="1686"/>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BORROWERS:</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1"/>
              </w:rPr>
              <w:t>ADVANCED FLOWER CAPITAL INC.</w:t>
            </w:r>
            <w:r>
              <w:rPr>
                <w:rFonts w:ascii="Times New Roman;serif" w:hAnsi="Times New Roman;serif"/>
                <w:b w:val="false"/>
                <w:color w:val="000000"/>
                <w:sz w:val="21"/>
              </w:rPr>
              <w:t>,</w:t>
            </w:r>
          </w:p>
          <w:p>
            <w:pPr>
              <w:pStyle w:val="TableContents"/>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a Maryland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1"/>
              </w:rPr>
              <w:t>By:    </w:t>
            </w:r>
            <w:r>
              <w:rPr>
                <w:rFonts w:ascii="Times New Roman;serif" w:hAnsi="Times New Roman;serif"/>
                <w:b w:val="false"/>
                <w:color w:val="000000"/>
                <w:sz w:val="21"/>
                <w:u w:val="single"/>
              </w:rPr>
              <w:t>/s/ Brandon Hetzel    </w:t>
            </w:r>
            <w:r>
              <w:rPr>
                <w:rFonts w:ascii="Times New Roman;serif" w:hAnsi="Times New Roman;serif"/>
                <w:b w:val="false"/>
                <w:color w:val="000000"/>
                <w:sz w:val="21"/>
              </w:rPr>
              <w:br/>
              <w:t>Name:    Brandon Hetzel</w:t>
              <w:br/>
              <w:t>Title:    Chief Financial Officer and Treasurer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color w:val="000000"/>
                <w:sz w:val="21"/>
              </w:rPr>
              <w:t>TCGDL LLC</w:t>
            </w:r>
            <w:r>
              <w:rPr>
                <w:rFonts w:ascii="Times New Roman;serif" w:hAnsi="Times New Roman;serif"/>
                <w:b w:val="false"/>
                <w:color w:val="000000"/>
                <w:sz w:val="21"/>
              </w:rPr>
              <w:t>,</w:t>
            </w:r>
          </w:p>
          <w:p>
            <w:pPr>
              <w:pStyle w:val="TableContents"/>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a Delaware limited liability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1"/>
              </w:rPr>
              <w:t>By:    </w:t>
            </w:r>
            <w:r>
              <w:rPr>
                <w:rFonts w:ascii="Times New Roman;serif" w:hAnsi="Times New Roman;serif"/>
                <w:b w:val="false"/>
                <w:color w:val="000000"/>
                <w:sz w:val="21"/>
                <w:u w:val="single"/>
              </w:rPr>
              <w:t>/s/ Brandon Hetzel    </w:t>
            </w:r>
            <w:r>
              <w:rPr>
                <w:rFonts w:ascii="Times New Roman;serif" w:hAnsi="Times New Roman;serif"/>
                <w:b w:val="false"/>
                <w:color w:val="000000"/>
                <w:sz w:val="21"/>
              </w:rPr>
              <w:br/>
              <w:t>Name:    Brandon Hetzel</w:t>
              <w:br/>
              <w:t>Title:    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7050"/>
                <wp:effectExtent l="0" t="0" r="0" b="0"/>
                <wp:wrapNone/>
                <wp:docPr id="11" name="Frame10"/>
                <a:graphic xmlns:a="http://schemas.openxmlformats.org/drawingml/2006/main">
                  <a:graphicData uri="http://schemas.microsoft.com/office/word/2010/wordprocessingShape">
                    <wps:wsp>
                      <wps:cNvSpPr txBox="1"/>
                      <wps:spPr>
                        <a:xfrm>
                          <a:off x="0" y="0"/>
                          <a:ext cx="6480175" cy="5270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Number Ten</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Number Ten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 Loan and Security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1"/>
        </w:rPr>
      </w:pPr>
      <w:r>
        <w:rPr>
          <w:rFonts w:ascii="Times New Roman;serif" w:hAnsi="Times New Roman;serif"/>
          <w:b/>
          <w:color w:val="000000"/>
          <w:sz w:val="21"/>
        </w:rPr>
        <w:t>REAFFIRMATION AND AGREEMENT OF GUARANTY</w:t>
      </w:r>
    </w:p>
    <w:p>
      <w:pPr>
        <w:pStyle w:val="TextBody"/>
        <w:bidi w:val="0"/>
        <w:spacing w:lineRule="auto" w:line="288" w:before="0" w:after="24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The undersigned (the “Guarantor”) has previously executed the Guaranty referred to in the above Amendment respecting the obligations owing by Guarantor to Agent and Lenders under any Loan Document to which it is a party or by which any of the properties of such Guarantor may be bound or affected. Without limiting the effectiveness of any affirmation, representation, warranty or acknowledgment set forth in the above Amendment, the undersigned hereby: (i) acknowledges the terms of the above Amendment, (ii) represents and warrants to Agent and Lenders that the execution, delivery, and performance of this reaffirmation and agreement of guaranty (“Reaffirmation”) are not in contravention of any law, rule, or regulation, or any order, judgment, decree, writ, injunction, or award of any arbitrator, court, or Governmental Authority or of any contract or undertaking to which Guarantor is a party or by which any of the properties of Guarantor may be bound or affected; (iii) consents to the amendment of the Agreement by the Amendment; (iv) acknowledges and reaffirms all obligations owing by Guarantor to Agent and Lenders under any Loan Document to which it is a party; (v) agrees that each Loan Document to which Guarantor is a party is and shall remain in full force and effect; (vi) agrees that Guarantor is guaranteeing Borrower’s Obligations under (and defined in) the Agreement as the same may be amended, supplemented, modified, or amended and restated from time to time, (vii) agrees that the obligations of Guarantor under the Guaranty continue to be secured by the security interest granted under the Guaranty and any other instruments or agreements executed by Guarantor in connection therewith, and (viii) ratifies and confirms its consent to any previous amendments, modifications or supplements to the Agreement. Although the undersigned has been informed of the matters set forth in the Agreement and has acknowledged and agreed to same, the undersigned understands that Agent and Lenders shall have no obligation to inform Guarantor of such matters in the future or to seek any Guarantor’s acknowledgement or agreement to future amendments or modifications, and nothing herein shall create such a duty.</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1"/>
        </w:rPr>
        <w:t>[</w:t>
      </w:r>
      <w:r>
        <w:rPr>
          <w:rFonts w:ascii="Times New Roman;serif" w:hAnsi="Times New Roman;serif"/>
          <w:b w:val="false"/>
          <w:i/>
          <w:color w:val="000000"/>
          <w:sz w:val="21"/>
        </w:rPr>
        <w:t>Remainder of page intentionally left blank. Signatures follow on next page</w:t>
      </w:r>
      <w:r>
        <w:rPr>
          <w:rFonts w:ascii="Times New Roman;serif" w:hAnsi="Times New Roman;serif"/>
          <w:b w:val="false"/>
          <w:color w:val="000000"/>
          <w:sz w:val="21"/>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14" w:type="dxa"/>
        <w:jc w:val="left"/>
        <w:tblInd w:w="0" w:type="dxa"/>
        <w:tblLayout w:type="fixed"/>
        <w:tblCellMar>
          <w:top w:w="28" w:type="dxa"/>
          <w:left w:w="28" w:type="dxa"/>
          <w:bottom w:w="28" w:type="dxa"/>
          <w:right w:w="28" w:type="dxa"/>
        </w:tblCellMar>
      </w:tblPr>
      <w:tblGrid>
        <w:gridCol w:w="1060"/>
        <w:gridCol w:w="930"/>
        <w:gridCol w:w="132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1"/>
              </w:rPr>
              <w:t>AFCG TRS1, LLC,</w:t>
            </w:r>
            <w:r>
              <w:rPr>
                <w:color w:val="000000"/>
              </w:rPr>
              <w:t xml:space="preserve"> </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 Delaware limited liability company</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1"/>
              </w:rPr>
              <w:t xml:space="preserve">By: </w:t>
            </w:r>
            <w:r>
              <w:rPr>
                <w:rFonts w:ascii="Times New Roman;serif" w:hAnsi="Times New Roman;serif"/>
                <w:b w:val="false"/>
                <w:color w:val="000000"/>
                <w:sz w:val="21"/>
                <w:u w:val="single"/>
              </w:rPr>
              <w:t>/s/ Brandon Hetzel            </w:t>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Name: Brandon Hetzel </w:t>
            </w:r>
          </w:p>
          <w:p>
            <w:pPr>
              <w:pStyle w:val="TableContents"/>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Title: Authorized Signatory</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ACCEPTED AND ACKNOWLEDGED BY:    </w:t>
      </w:r>
    </w:p>
    <w:p>
      <w:pPr>
        <w:pStyle w:val="TextBody"/>
        <w:bidi w:val="0"/>
        <w:spacing w:before="0" w:after="240"/>
        <w:ind w:left="0" w:right="0" w:firstLine="720"/>
        <w:jc w:val="both"/>
        <w:rPr/>
      </w:pPr>
      <w:r>
        <w:rPr/>
      </w:r>
    </w:p>
    <w:p>
      <w:pPr>
        <w:pStyle w:val="TextBody"/>
        <w:bidi w:val="0"/>
        <w:spacing w:lineRule="auto" w:line="288" w:before="0" w:after="0"/>
        <w:jc w:val="left"/>
        <w:rPr/>
      </w:pPr>
      <w:r>
        <w:rPr>
          <w:rFonts w:ascii="Times New Roman;serif" w:hAnsi="Times New Roman;serif"/>
          <w:b w:val="false"/>
          <w:color w:val="000000"/>
          <w:sz w:val="21"/>
        </w:rPr>
        <w:t>[***]</w:t>
      </w:r>
      <w:r>
        <w:rPr>
          <w:rFonts w:ascii="Times New Roman;serif" w:hAnsi="Times New Roman;serif"/>
          <w:b/>
          <w:color w:val="000000"/>
          <w:sz w:val="21"/>
        </w:rPr>
        <w:t>,</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as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By: </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Name: [***]</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Title: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Reaffirmation and Agreement of Guaranty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Reaffirmation and Agreement of Guaranty </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NewRomanPSM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3465</Words>
  <Characters>18905</Characters>
  <CharactersWithSpaces>22396</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