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1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August 25, 2026</w:t>
      </w:r>
    </w:p>
    <w:p>
      <w:pPr>
        <w:pStyle w:val="TextBody"/>
        <w:bidi w:val="0"/>
        <w:spacing w:before="0" w:after="0"/>
        <w:jc w:val="center"/>
        <w:rPr/>
      </w:pPr>
      <w:r>
        <w:rPr/>
        <w:drawing>
          <wp:inline distT="0" distB="0" distL="0" distR="0">
            <wp:extent cx="20574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905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ADVANCED FLOWER CAPITAL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001-39995</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85-1807125</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477 S. Rosemary Ave., Suite 301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561-510-2390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AFCG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previously announced, the Board of Directors of Advanced Flower Capital Inc. (the “Company”) has authorized a program for the purpose of repurchasing up to $5.0 million of the Company's common stock (the “Repurchase Program”). Under the Repurchase Program, the Company may, but is not obligated to, repurchase its outstanding common stock in the open market from time to time, provided that the Company complies with the prohibitions under its compliance policies and procedures adopted in accordance with Rule 38a-1 and other relevant provisions under the Investment Company Act of 1940, as amended (the “1940 Act”), a code of ethics adopted pursuant to Rule 17j-1 under the 1940 Act and the guidelines specified in Rule 10b-18 under the Securities Exchange Act of 1934, as amended, including certain price, market, volume, and timing constraints. Unless amended or extended by the Company’s Board of Directors, the Company expects the Repurchase Program to be in place until the earlier of such time that $5.0 million of the Company’s outstanding shares of common stock have been repurchased, or May 4, 2027.</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August 25, 2026, the Company has repurchased an aggregate of 986,916 shares of its common stock pursuant to the Repurchase Program and, after giving effect to all repurchases completed under the Repurchase Program through that date, the total number of shares of the Company’s common stock issued and outstanding is 22,541,928.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725" w:type="dxa"/>
        <w:jc w:val="left"/>
        <w:tblInd w:w="0" w:type="dxa"/>
        <w:tblLayout w:type="fixed"/>
        <w:tblCellMar>
          <w:top w:w="28" w:type="dxa"/>
          <w:left w:w="28" w:type="dxa"/>
          <w:bottom w:w="28" w:type="dxa"/>
          <w:right w:w="28" w:type="dxa"/>
        </w:tblCellMar>
      </w:tblPr>
      <w:tblGrid>
        <w:gridCol w:w="705"/>
        <w:gridCol w:w="621"/>
        <w:gridCol w:w="624"/>
        <w:gridCol w:w="542"/>
        <w:gridCol w:w="542"/>
        <w:gridCol w:w="542"/>
        <w:gridCol w:w="914"/>
        <w:gridCol w:w="914"/>
        <w:gridCol w:w="132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ADVANCED FLOWER CAPITAL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3189</Characters>
  <CharactersWithSpaces>3727</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